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C6915" w14:textId="77777777" w:rsidR="00274628" w:rsidRPr="00594F13" w:rsidRDefault="007C6F68" w:rsidP="00274628">
      <w:pPr>
        <w:pStyle w:val="Title"/>
        <w:rPr>
          <w:sz w:val="28"/>
        </w:rPr>
      </w:pPr>
      <w:r>
        <w:rPr>
          <w:sz w:val="28"/>
        </w:rPr>
        <w:t xml:space="preserve"> </w:t>
      </w:r>
      <w:r w:rsidR="00274628" w:rsidRPr="00594F13">
        <w:rPr>
          <w:sz w:val="28"/>
        </w:rPr>
        <w:t>M I N U T E S</w:t>
      </w:r>
    </w:p>
    <w:p w14:paraId="527843F0" w14:textId="77777777" w:rsidR="00274628" w:rsidRPr="00594F13" w:rsidRDefault="00274628" w:rsidP="00274628">
      <w:pPr>
        <w:pStyle w:val="Title"/>
        <w:rPr>
          <w:sz w:val="28"/>
        </w:rPr>
      </w:pPr>
    </w:p>
    <w:p w14:paraId="6AD32B05" w14:textId="77777777" w:rsidR="00274628" w:rsidRPr="00594F13" w:rsidRDefault="00274628" w:rsidP="00274628">
      <w:pPr>
        <w:jc w:val="center"/>
        <w:rPr>
          <w:b/>
          <w:bCs/>
        </w:rPr>
      </w:pPr>
      <w:r w:rsidRPr="00594F13">
        <w:rPr>
          <w:b/>
          <w:bCs/>
        </w:rPr>
        <w:t>METROPOLITAN EMPLOYEE BENEFIT SYSTEM</w:t>
      </w:r>
    </w:p>
    <w:p w14:paraId="4226610B" w14:textId="77777777" w:rsidR="00274628" w:rsidRPr="00594F13" w:rsidRDefault="00274628" w:rsidP="00274628">
      <w:pPr>
        <w:jc w:val="center"/>
        <w:rPr>
          <w:b/>
          <w:bCs/>
        </w:rPr>
      </w:pPr>
      <w:r w:rsidRPr="00594F13">
        <w:rPr>
          <w:b/>
          <w:bCs/>
        </w:rPr>
        <w:t>INVESTMENT COMMITTEE</w:t>
      </w:r>
    </w:p>
    <w:p w14:paraId="5565B125" w14:textId="77777777" w:rsidR="00274628" w:rsidRPr="00594F13" w:rsidRDefault="00274628" w:rsidP="00274628">
      <w:pPr>
        <w:pStyle w:val="Title"/>
        <w:ind w:left="-1440" w:right="-1260" w:firstLine="720"/>
        <w:jc w:val="left"/>
        <w:rPr>
          <w:b w:val="0"/>
          <w:bCs w:val="0"/>
          <w:sz w:val="24"/>
        </w:rPr>
      </w:pPr>
    </w:p>
    <w:p w14:paraId="3949C397" w14:textId="0D54B4E9" w:rsidR="00274628" w:rsidRDefault="00F93A25" w:rsidP="00274628">
      <w:pPr>
        <w:pBdr>
          <w:bottom w:val="single" w:sz="48" w:space="1" w:color="auto"/>
        </w:pBdr>
        <w:ind w:left="-720"/>
      </w:pPr>
      <w:r>
        <w:t>May 20</w:t>
      </w:r>
      <w:r w:rsidRPr="00F93A25">
        <w:rPr>
          <w:vertAlign w:val="superscript"/>
        </w:rPr>
        <w:t>th</w:t>
      </w:r>
      <w:r w:rsidR="00F874EA">
        <w:t>, 2021</w:t>
      </w:r>
      <w:r w:rsidR="00C73120">
        <w:t xml:space="preserve"> @ </w:t>
      </w:r>
      <w:r w:rsidR="00F874EA">
        <w:t>9:30 a</w:t>
      </w:r>
      <w:r w:rsidR="00C73120">
        <w:t>.m</w:t>
      </w:r>
      <w:r w:rsidR="00274628" w:rsidRPr="00594F13">
        <w:t>.</w:t>
      </w:r>
      <w:r w:rsidR="00AC374B">
        <w:t xml:space="preserve">                            </w:t>
      </w:r>
      <w:r w:rsidR="002C3F1A">
        <w:t xml:space="preserve">   </w:t>
      </w:r>
      <w:r w:rsidR="00067130">
        <w:t xml:space="preserve">       </w:t>
      </w:r>
      <w:r w:rsidR="00AC374B">
        <w:t xml:space="preserve">                                     </w:t>
      </w:r>
    </w:p>
    <w:p w14:paraId="5DE147F4" w14:textId="2FE694A4" w:rsidR="00AC374B" w:rsidRPr="00594F13" w:rsidRDefault="00AC374B" w:rsidP="00274628">
      <w:pPr>
        <w:pBdr>
          <w:bottom w:val="single" w:sz="48" w:space="1" w:color="auto"/>
        </w:pBdr>
        <w:ind w:left="-720"/>
      </w:pPr>
      <w:r>
        <w:t xml:space="preserve">Investment Committee Meeting                                </w:t>
      </w:r>
      <w:r w:rsidR="00067130">
        <w:tab/>
      </w:r>
      <w:r w:rsidR="00067130">
        <w:tab/>
      </w:r>
      <w:r w:rsidR="00F93A25">
        <w:t>Howard Office Building- Sonny West Room</w:t>
      </w:r>
      <w:r>
        <w:t xml:space="preserve"> </w:t>
      </w:r>
    </w:p>
    <w:p w14:paraId="26923C26" w14:textId="77777777" w:rsidR="00274628" w:rsidRPr="00594F13" w:rsidRDefault="00274628" w:rsidP="00274628">
      <w:pPr>
        <w:pStyle w:val="BodyTextIndent"/>
        <w:rPr>
          <w:sz w:val="24"/>
        </w:rPr>
      </w:pPr>
    </w:p>
    <w:p w14:paraId="531A55D8" w14:textId="2AFBB5DA" w:rsidR="00AC374B" w:rsidRPr="00594F13" w:rsidRDefault="00274628" w:rsidP="00AC374B">
      <w:pPr>
        <w:pStyle w:val="BodyTextIndent"/>
        <w:jc w:val="both"/>
        <w:rPr>
          <w:sz w:val="24"/>
        </w:rPr>
      </w:pPr>
      <w:r w:rsidRPr="00594F13">
        <w:rPr>
          <w:sz w:val="24"/>
        </w:rPr>
        <w:t xml:space="preserve">The Investment Committee met on </w:t>
      </w:r>
      <w:r w:rsidR="00F874EA">
        <w:rPr>
          <w:sz w:val="24"/>
        </w:rPr>
        <w:t xml:space="preserve">Thursday, </w:t>
      </w:r>
      <w:r w:rsidR="00F93A25">
        <w:rPr>
          <w:sz w:val="24"/>
        </w:rPr>
        <w:t>May 20</w:t>
      </w:r>
      <w:r w:rsidR="00F93A25" w:rsidRPr="00F93A25">
        <w:rPr>
          <w:sz w:val="24"/>
          <w:vertAlign w:val="superscript"/>
        </w:rPr>
        <w:t>th</w:t>
      </w:r>
      <w:r w:rsidR="00F874EA">
        <w:rPr>
          <w:sz w:val="24"/>
        </w:rPr>
        <w:t>, 2021</w:t>
      </w:r>
      <w:r w:rsidR="00C73120">
        <w:rPr>
          <w:sz w:val="24"/>
        </w:rPr>
        <w:t xml:space="preserve"> @ </w:t>
      </w:r>
      <w:r w:rsidR="00F874EA">
        <w:rPr>
          <w:sz w:val="24"/>
        </w:rPr>
        <w:t>9:30 a</w:t>
      </w:r>
      <w:r w:rsidR="00C73120">
        <w:rPr>
          <w:sz w:val="24"/>
        </w:rPr>
        <w:t>.m.</w:t>
      </w:r>
    </w:p>
    <w:p w14:paraId="345C29B8" w14:textId="77777777" w:rsidR="00274628" w:rsidRPr="00594F13" w:rsidRDefault="00274628" w:rsidP="00274628">
      <w:pPr>
        <w:ind w:left="-720"/>
        <w:jc w:val="both"/>
      </w:pPr>
    </w:p>
    <w:p w14:paraId="4EB9410C" w14:textId="77777777" w:rsidR="006379C3" w:rsidRPr="00594F13" w:rsidRDefault="00274628" w:rsidP="006379C3">
      <w:pPr>
        <w:ind w:left="-720"/>
        <w:jc w:val="both"/>
      </w:pPr>
      <w:r w:rsidRPr="00594F13">
        <w:t>Those Investment Committee members present were:</w:t>
      </w:r>
    </w:p>
    <w:p w14:paraId="340154F5" w14:textId="77777777" w:rsidR="00274628" w:rsidRPr="00594F13" w:rsidRDefault="00274628" w:rsidP="00274628">
      <w:pPr>
        <w:jc w:val="both"/>
        <w:rPr>
          <w:sz w:val="16"/>
        </w:rPr>
      </w:pPr>
      <w:r w:rsidRPr="00594F13">
        <w:rPr>
          <w:sz w:val="16"/>
        </w:rPr>
        <w:tab/>
      </w:r>
    </w:p>
    <w:p w14:paraId="32250E8D" w14:textId="70815E09" w:rsidR="00274628" w:rsidRPr="00594F13" w:rsidRDefault="00F874EA" w:rsidP="00274628">
      <w:pPr>
        <w:jc w:val="both"/>
      </w:pPr>
      <w:r>
        <w:t xml:space="preserve">Stephanie Bailey, </w:t>
      </w:r>
      <w:r w:rsidR="002C61C6">
        <w:t>Christine Bradley</w:t>
      </w:r>
      <w:r w:rsidR="00FD06A2">
        <w:t xml:space="preserve">, and </w:t>
      </w:r>
      <w:r w:rsidR="005E7077">
        <w:t>G. Thomas Curtis</w:t>
      </w:r>
    </w:p>
    <w:p w14:paraId="52ABFF01" w14:textId="77777777" w:rsidR="00274628" w:rsidRPr="00594F13" w:rsidRDefault="00274628" w:rsidP="00274628">
      <w:pPr>
        <w:jc w:val="both"/>
      </w:pPr>
    </w:p>
    <w:p w14:paraId="2B62A3A7" w14:textId="77777777" w:rsidR="00274628" w:rsidRPr="00594F13" w:rsidRDefault="00274628" w:rsidP="00274628">
      <w:pPr>
        <w:ind w:left="-720"/>
        <w:jc w:val="both"/>
      </w:pPr>
      <w:r w:rsidRPr="00594F13">
        <w:t>Other attendees:</w:t>
      </w:r>
    </w:p>
    <w:p w14:paraId="022D12CA" w14:textId="77777777" w:rsidR="00274628" w:rsidRPr="00594F13" w:rsidRDefault="00274628" w:rsidP="00274628">
      <w:pPr>
        <w:tabs>
          <w:tab w:val="left" w:pos="3050"/>
        </w:tabs>
        <w:jc w:val="both"/>
      </w:pPr>
    </w:p>
    <w:p w14:paraId="1636900C" w14:textId="334AA603" w:rsidR="002C61C6" w:rsidRDefault="00CB73B3" w:rsidP="00274628">
      <w:pPr>
        <w:jc w:val="both"/>
      </w:pPr>
      <w:r>
        <w:rPr>
          <w:u w:val="single"/>
        </w:rPr>
        <w:t>NEPC</w:t>
      </w:r>
      <w:r w:rsidR="00274628" w:rsidRPr="007B1AD9">
        <w:rPr>
          <w:u w:val="single"/>
        </w:rPr>
        <w:t>:</w:t>
      </w:r>
      <w:r w:rsidR="00274628" w:rsidRPr="00594F13">
        <w:t xml:space="preserve">  </w:t>
      </w:r>
      <w:r w:rsidR="0075740F">
        <w:t xml:space="preserve">Dan Beaton &amp; </w:t>
      </w:r>
      <w:r>
        <w:t>Keith Stronkowsky</w:t>
      </w:r>
    </w:p>
    <w:p w14:paraId="4640ECD6" w14:textId="23B72AD8" w:rsidR="002C61C6" w:rsidRPr="002C61C6" w:rsidRDefault="002C61C6" w:rsidP="00274628">
      <w:pPr>
        <w:jc w:val="both"/>
      </w:pPr>
      <w:r w:rsidRPr="002C61C6">
        <w:rPr>
          <w:u w:val="single"/>
        </w:rPr>
        <w:t xml:space="preserve">Voya: </w:t>
      </w:r>
      <w:r>
        <w:t>John Co</w:t>
      </w:r>
      <w:r w:rsidR="00982AD2">
        <w:t>x</w:t>
      </w:r>
      <w:r w:rsidR="00C73120">
        <w:t xml:space="preserve"> &amp; Deltra Hayes</w:t>
      </w:r>
    </w:p>
    <w:p w14:paraId="43CA9B5E" w14:textId="584A374F" w:rsidR="004859D4" w:rsidRDefault="00897404" w:rsidP="00274628">
      <w:pPr>
        <w:jc w:val="both"/>
      </w:pPr>
      <w:r>
        <w:rPr>
          <w:u w:val="single"/>
        </w:rPr>
        <w:t>Staff:</w:t>
      </w:r>
      <w:r w:rsidR="00274628" w:rsidRPr="00594F13">
        <w:t xml:space="preserve"> </w:t>
      </w:r>
      <w:r w:rsidR="00C73120">
        <w:t xml:space="preserve">Michell Bosch, Treasurer, </w:t>
      </w:r>
      <w:r w:rsidR="0076703D">
        <w:t>Fadi BouSamra, CIO</w:t>
      </w:r>
      <w:r w:rsidR="00F874EA">
        <w:t xml:space="preserve">, </w:t>
      </w:r>
      <w:r w:rsidR="00FD06A2">
        <w:t>&amp;</w:t>
      </w:r>
      <w:r w:rsidR="00FD06A2" w:rsidRPr="00FD06A2">
        <w:t xml:space="preserve"> </w:t>
      </w:r>
      <w:r w:rsidR="00FD06A2">
        <w:t>Katelyn Richie, Finance Officer</w:t>
      </w:r>
    </w:p>
    <w:p w14:paraId="4EB745E1" w14:textId="3CAEA011" w:rsidR="00274628" w:rsidRDefault="004859D4" w:rsidP="00274628">
      <w:pPr>
        <w:jc w:val="both"/>
      </w:pPr>
      <w:r>
        <w:rPr>
          <w:u w:val="single"/>
        </w:rPr>
        <w:t>Others Attending</w:t>
      </w:r>
      <w:r w:rsidR="00430176" w:rsidRPr="007B1AD9">
        <w:rPr>
          <w:u w:val="single"/>
        </w:rPr>
        <w:t>:</w:t>
      </w:r>
      <w:r w:rsidR="008D75A3">
        <w:t xml:space="preserve"> </w:t>
      </w:r>
      <w:r w:rsidR="00FD06A2">
        <w:t>Josh Thomas, Metro Legal</w:t>
      </w:r>
    </w:p>
    <w:p w14:paraId="3B43E0AE" w14:textId="77777777" w:rsidR="00F874EA" w:rsidRPr="00F874EA" w:rsidRDefault="00F874EA" w:rsidP="00AF4100">
      <w:pPr>
        <w:tabs>
          <w:tab w:val="left" w:pos="-840"/>
        </w:tabs>
        <w:jc w:val="both"/>
      </w:pPr>
    </w:p>
    <w:p w14:paraId="1463BED0" w14:textId="3D1C5A15" w:rsidR="00AF4100" w:rsidRPr="00AF4100" w:rsidRDefault="00AF4100" w:rsidP="00AD1BAB">
      <w:pPr>
        <w:numPr>
          <w:ilvl w:val="0"/>
          <w:numId w:val="1"/>
        </w:numPr>
        <w:tabs>
          <w:tab w:val="left" w:pos="-840"/>
        </w:tabs>
        <w:jc w:val="both"/>
        <w:rPr>
          <w:b/>
          <w:bCs/>
        </w:rPr>
      </w:pPr>
      <w:r w:rsidRPr="00AF4100">
        <w:rPr>
          <w:b/>
          <w:bCs/>
        </w:rPr>
        <w:t xml:space="preserve">Temporary Chair: </w:t>
      </w:r>
      <w:r>
        <w:t xml:space="preserve">Ms. Bradley made a motion to select Mr. Curtis as the temporary chair for the meeting in Mr. Crumbo’s absence.  Ms. Bailey seconded the motion. </w:t>
      </w:r>
      <w:r w:rsidR="00256D13">
        <w:t>The motion passed unanimously.</w:t>
      </w:r>
    </w:p>
    <w:p w14:paraId="45A84AF7" w14:textId="77777777" w:rsidR="00AF4100" w:rsidRPr="00AF4100" w:rsidRDefault="00AF4100" w:rsidP="00AF4100">
      <w:pPr>
        <w:tabs>
          <w:tab w:val="left" w:pos="-840"/>
        </w:tabs>
        <w:ind w:left="360"/>
        <w:jc w:val="both"/>
        <w:rPr>
          <w:b/>
          <w:bCs/>
        </w:rPr>
      </w:pPr>
    </w:p>
    <w:p w14:paraId="7EEAF131" w14:textId="02153936" w:rsidR="00274628" w:rsidRDefault="00AD1BAB" w:rsidP="009B7F22">
      <w:pPr>
        <w:numPr>
          <w:ilvl w:val="0"/>
          <w:numId w:val="1"/>
        </w:numPr>
        <w:tabs>
          <w:tab w:val="left" w:pos="-840"/>
        </w:tabs>
        <w:jc w:val="both"/>
      </w:pPr>
      <w:r w:rsidRPr="00594F13">
        <w:rPr>
          <w:b/>
          <w:bCs/>
        </w:rPr>
        <w:t xml:space="preserve">Establish a quorum:  </w:t>
      </w:r>
      <w:r>
        <w:rPr>
          <w:bCs/>
        </w:rPr>
        <w:t>Mr.</w:t>
      </w:r>
      <w:r w:rsidR="00AF4100">
        <w:rPr>
          <w:bCs/>
        </w:rPr>
        <w:t xml:space="preserve"> Curtis</w:t>
      </w:r>
      <w:r>
        <w:rPr>
          <w:bCs/>
        </w:rPr>
        <w:t xml:space="preserve"> established that a quorum was present, and the meeting was called to order.</w:t>
      </w:r>
    </w:p>
    <w:p w14:paraId="03406D97" w14:textId="77777777" w:rsidR="00AF4100" w:rsidRPr="00A06918" w:rsidRDefault="00AF4100" w:rsidP="00AF4100">
      <w:pPr>
        <w:tabs>
          <w:tab w:val="left" w:pos="-840"/>
        </w:tabs>
        <w:jc w:val="both"/>
      </w:pPr>
    </w:p>
    <w:p w14:paraId="1633EC33" w14:textId="1C6AED9E" w:rsidR="00646314" w:rsidRPr="002C3F1A" w:rsidRDefault="00274628" w:rsidP="002C61C6">
      <w:pPr>
        <w:numPr>
          <w:ilvl w:val="0"/>
          <w:numId w:val="1"/>
        </w:numPr>
        <w:tabs>
          <w:tab w:val="left" w:pos="-840"/>
        </w:tabs>
        <w:jc w:val="both"/>
      </w:pPr>
      <w:r w:rsidRPr="00595821">
        <w:rPr>
          <w:b/>
          <w:bCs/>
        </w:rPr>
        <w:t>Approval of minutes from the</w:t>
      </w:r>
      <w:r w:rsidR="00433FE1">
        <w:rPr>
          <w:b/>
          <w:bCs/>
        </w:rPr>
        <w:t xml:space="preserve"> </w:t>
      </w:r>
      <w:r w:rsidR="00AF4100">
        <w:rPr>
          <w:b/>
          <w:bCs/>
        </w:rPr>
        <w:t>February 25</w:t>
      </w:r>
      <w:r w:rsidR="00AF4100" w:rsidRPr="00AF4100">
        <w:rPr>
          <w:b/>
          <w:bCs/>
          <w:vertAlign w:val="superscript"/>
        </w:rPr>
        <w:t>th</w:t>
      </w:r>
      <w:r w:rsidR="00AF4100">
        <w:rPr>
          <w:b/>
          <w:bCs/>
        </w:rPr>
        <w:t xml:space="preserve"> &amp; April 13</w:t>
      </w:r>
      <w:r w:rsidR="00AF4100" w:rsidRPr="00AF4100">
        <w:rPr>
          <w:b/>
          <w:bCs/>
          <w:vertAlign w:val="superscript"/>
        </w:rPr>
        <w:t>th</w:t>
      </w:r>
      <w:r w:rsidR="00E07A1D">
        <w:rPr>
          <w:b/>
          <w:bCs/>
        </w:rPr>
        <w:t xml:space="preserve"> </w:t>
      </w:r>
      <w:r w:rsidRPr="00595821">
        <w:rPr>
          <w:b/>
          <w:bCs/>
        </w:rPr>
        <w:t>meeting</w:t>
      </w:r>
      <w:r w:rsidR="00AF4100">
        <w:rPr>
          <w:b/>
          <w:bCs/>
        </w:rPr>
        <w:t>s</w:t>
      </w:r>
      <w:r w:rsidRPr="00875EF9">
        <w:rPr>
          <w:b/>
          <w:bCs/>
        </w:rPr>
        <w:t>:</w:t>
      </w:r>
      <w:r>
        <w:rPr>
          <w:b/>
          <w:bCs/>
        </w:rPr>
        <w:t xml:space="preserve">  </w:t>
      </w:r>
      <w:r w:rsidR="00DD25B2">
        <w:t xml:space="preserve">Ms. Bradley made a motion to accept the </w:t>
      </w:r>
      <w:r w:rsidR="00AF4100">
        <w:t>February 25</w:t>
      </w:r>
      <w:r w:rsidR="00AF4100" w:rsidRPr="00AF4100">
        <w:rPr>
          <w:vertAlign w:val="superscript"/>
        </w:rPr>
        <w:t>th</w:t>
      </w:r>
      <w:r w:rsidR="00AF4100">
        <w:t xml:space="preserve"> </w:t>
      </w:r>
      <w:r w:rsidR="00DD25B2">
        <w:t>minutes as written.  M</w:t>
      </w:r>
      <w:r w:rsidR="00AF4100">
        <w:t>s. Bailey</w:t>
      </w:r>
      <w:r w:rsidR="00DD25B2">
        <w:t xml:space="preserve"> seconded the motion.  </w:t>
      </w:r>
      <w:r w:rsidR="00AF4100">
        <w:rPr>
          <w:bCs/>
        </w:rPr>
        <w:t>The motion passed unanimously.  Ms. Bradley made a motion to accept the April 13</w:t>
      </w:r>
      <w:r w:rsidR="00AF4100" w:rsidRPr="00AF4100">
        <w:rPr>
          <w:bCs/>
          <w:vertAlign w:val="superscript"/>
        </w:rPr>
        <w:t>th</w:t>
      </w:r>
      <w:r w:rsidR="00AF4100">
        <w:rPr>
          <w:bCs/>
        </w:rPr>
        <w:t xml:space="preserve"> minutes as written.  Ms. Bailey seconded the motion.  The motion passed unanimously.  </w:t>
      </w:r>
    </w:p>
    <w:p w14:paraId="0DA0D147" w14:textId="77777777" w:rsidR="00F66292" w:rsidRDefault="00F66292" w:rsidP="00ED7861"/>
    <w:p w14:paraId="5886813D" w14:textId="77777777" w:rsidR="00AF4100" w:rsidRPr="009F7167" w:rsidRDefault="00AF4100" w:rsidP="00AF4100">
      <w:pPr>
        <w:numPr>
          <w:ilvl w:val="0"/>
          <w:numId w:val="1"/>
        </w:numPr>
        <w:tabs>
          <w:tab w:val="left" w:pos="-840"/>
        </w:tabs>
        <w:jc w:val="both"/>
        <w:rPr>
          <w:b/>
        </w:rPr>
      </w:pPr>
      <w:r>
        <w:rPr>
          <w:b/>
        </w:rPr>
        <w:t xml:space="preserve">Recommendations &amp; Updates: </w:t>
      </w:r>
      <w:r>
        <w:t>Mr. BouSamra and Mr. Stronkowsky reviewed the following recommendations and General Updates:</w:t>
      </w:r>
    </w:p>
    <w:p w14:paraId="3B18E424" w14:textId="77777777" w:rsidR="00AF4100" w:rsidRPr="009F7167" w:rsidRDefault="00AF4100" w:rsidP="00AF4100">
      <w:pPr>
        <w:tabs>
          <w:tab w:val="left" w:pos="-840"/>
        </w:tabs>
        <w:ind w:left="360"/>
        <w:jc w:val="both"/>
        <w:rPr>
          <w:b/>
        </w:rPr>
      </w:pPr>
    </w:p>
    <w:p w14:paraId="7CB5AFA6" w14:textId="03B8A1E3" w:rsidR="00AF4100" w:rsidRDefault="00AF4100" w:rsidP="00AF4100">
      <w:pPr>
        <w:numPr>
          <w:ilvl w:val="0"/>
          <w:numId w:val="15"/>
        </w:numPr>
        <w:autoSpaceDE w:val="0"/>
        <w:autoSpaceDN w:val="0"/>
        <w:adjustRightInd w:val="0"/>
        <w:rPr>
          <w:b/>
          <w:szCs w:val="22"/>
        </w:rPr>
      </w:pPr>
      <w:r w:rsidRPr="007E6FA2">
        <w:rPr>
          <w:b/>
          <w:szCs w:val="22"/>
        </w:rPr>
        <w:t>General Updates:</w:t>
      </w:r>
    </w:p>
    <w:p w14:paraId="5D27352A" w14:textId="77777777" w:rsidR="00256D13" w:rsidRPr="007E6FA2" w:rsidRDefault="00256D13" w:rsidP="00256D13">
      <w:pPr>
        <w:autoSpaceDE w:val="0"/>
        <w:autoSpaceDN w:val="0"/>
        <w:adjustRightInd w:val="0"/>
        <w:ind w:left="360"/>
        <w:rPr>
          <w:b/>
          <w:szCs w:val="22"/>
        </w:rPr>
      </w:pPr>
    </w:p>
    <w:p w14:paraId="6120698A" w14:textId="77777777" w:rsidR="00AF4100" w:rsidRDefault="00AF4100" w:rsidP="00AF4100">
      <w:pPr>
        <w:numPr>
          <w:ilvl w:val="0"/>
          <w:numId w:val="43"/>
        </w:num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Cash in Metro MIP as of 3/31/2021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$337,897</w:t>
      </w:r>
    </w:p>
    <w:p w14:paraId="337DC540" w14:textId="77777777" w:rsidR="00AF4100" w:rsidRDefault="00AF4100" w:rsidP="00AF4100">
      <w:pPr>
        <w:numPr>
          <w:ilvl w:val="0"/>
          <w:numId w:val="43"/>
        </w:num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The S&amp;P500 Managed Vol. portfolio is back to the original mandate targeting 17% volatility.</w:t>
      </w:r>
    </w:p>
    <w:p w14:paraId="7B04F439" w14:textId="77777777" w:rsidR="00AF4100" w:rsidRDefault="00AF4100" w:rsidP="00AF4100">
      <w:pPr>
        <w:numPr>
          <w:ilvl w:val="0"/>
          <w:numId w:val="43"/>
        </w:num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We finished the Master Custody services search and now in the hands of Procurement to award.</w:t>
      </w:r>
    </w:p>
    <w:p w14:paraId="081A35F5" w14:textId="77777777" w:rsidR="00AF4100" w:rsidRDefault="00AF4100" w:rsidP="00AF4100">
      <w:pPr>
        <w:numPr>
          <w:ilvl w:val="0"/>
          <w:numId w:val="43"/>
        </w:num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457 MetroMax administrator contract is up for renewal.</w:t>
      </w:r>
    </w:p>
    <w:p w14:paraId="7094A63B" w14:textId="135EAB37" w:rsidR="00AF4100" w:rsidRDefault="00AF4100" w:rsidP="00AF4100">
      <w:pPr>
        <w:numPr>
          <w:ilvl w:val="0"/>
          <w:numId w:val="43"/>
        </w:num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Trailing year private investments summary:</w:t>
      </w:r>
    </w:p>
    <w:p w14:paraId="31DB1567" w14:textId="77777777" w:rsidR="00DB0493" w:rsidRDefault="00DB0493" w:rsidP="00DB0493">
      <w:pPr>
        <w:autoSpaceDE w:val="0"/>
        <w:autoSpaceDN w:val="0"/>
        <w:adjustRightInd w:val="0"/>
        <w:ind w:left="1080"/>
        <w:rPr>
          <w:szCs w:val="22"/>
        </w:rPr>
      </w:pPr>
    </w:p>
    <w:p w14:paraId="11BA2869" w14:textId="77777777" w:rsidR="00AF4100" w:rsidRDefault="00AF4100" w:rsidP="00AF4100">
      <w:pPr>
        <w:autoSpaceDE w:val="0"/>
        <w:autoSpaceDN w:val="0"/>
        <w:adjustRightInd w:val="0"/>
        <w:ind w:left="1080"/>
        <w:rPr>
          <w:szCs w:val="2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918"/>
        <w:gridCol w:w="1260"/>
        <w:gridCol w:w="1039"/>
        <w:gridCol w:w="1031"/>
        <w:gridCol w:w="1440"/>
        <w:gridCol w:w="1170"/>
        <w:gridCol w:w="1039"/>
        <w:gridCol w:w="1193"/>
      </w:tblGrid>
      <w:tr w:rsidR="00AF4100" w:rsidRPr="00B64E74" w14:paraId="5BEA50FE" w14:textId="77777777" w:rsidTr="00256D13">
        <w:tc>
          <w:tcPr>
            <w:tcW w:w="990" w:type="dxa"/>
            <w:shd w:val="clear" w:color="auto" w:fill="auto"/>
          </w:tcPr>
          <w:p w14:paraId="2DAD0B1A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18" w:type="dxa"/>
            <w:shd w:val="clear" w:color="auto" w:fill="auto"/>
          </w:tcPr>
          <w:p w14:paraId="628FBECF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F97E749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64E74">
              <w:rPr>
                <w:b/>
                <w:bCs/>
                <w:sz w:val="20"/>
              </w:rPr>
              <w:t>Committed</w:t>
            </w:r>
          </w:p>
        </w:tc>
        <w:tc>
          <w:tcPr>
            <w:tcW w:w="1039" w:type="dxa"/>
            <w:shd w:val="clear" w:color="auto" w:fill="auto"/>
          </w:tcPr>
          <w:p w14:paraId="4190BE6D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64E74">
              <w:rPr>
                <w:b/>
                <w:bCs/>
                <w:sz w:val="20"/>
              </w:rPr>
              <w:t>Paid in Capital</w:t>
            </w:r>
          </w:p>
        </w:tc>
        <w:tc>
          <w:tcPr>
            <w:tcW w:w="1031" w:type="dxa"/>
            <w:shd w:val="clear" w:color="auto" w:fill="auto"/>
          </w:tcPr>
          <w:p w14:paraId="68E62C71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64E74">
              <w:rPr>
                <w:b/>
                <w:bCs/>
                <w:sz w:val="20"/>
              </w:rPr>
              <w:t>Capital to be funded</w:t>
            </w:r>
          </w:p>
        </w:tc>
        <w:tc>
          <w:tcPr>
            <w:tcW w:w="1440" w:type="dxa"/>
            <w:shd w:val="clear" w:color="auto" w:fill="auto"/>
          </w:tcPr>
          <w:p w14:paraId="6143EAE0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64E74">
              <w:rPr>
                <w:b/>
                <w:bCs/>
                <w:sz w:val="20"/>
              </w:rPr>
              <w:t>Cumulative Distributions</w:t>
            </w:r>
          </w:p>
        </w:tc>
        <w:tc>
          <w:tcPr>
            <w:tcW w:w="1170" w:type="dxa"/>
            <w:shd w:val="clear" w:color="auto" w:fill="auto"/>
          </w:tcPr>
          <w:p w14:paraId="05968EF0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64E74">
              <w:rPr>
                <w:b/>
                <w:bCs/>
                <w:sz w:val="20"/>
              </w:rPr>
              <w:t>Current Valuation</w:t>
            </w:r>
          </w:p>
        </w:tc>
        <w:tc>
          <w:tcPr>
            <w:tcW w:w="1039" w:type="dxa"/>
            <w:shd w:val="clear" w:color="auto" w:fill="auto"/>
          </w:tcPr>
          <w:p w14:paraId="7BF62E74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64E74">
              <w:rPr>
                <w:b/>
                <w:bCs/>
                <w:sz w:val="20"/>
              </w:rPr>
              <w:t>Total Value</w:t>
            </w:r>
          </w:p>
        </w:tc>
        <w:tc>
          <w:tcPr>
            <w:tcW w:w="1193" w:type="dxa"/>
            <w:shd w:val="clear" w:color="auto" w:fill="auto"/>
          </w:tcPr>
          <w:p w14:paraId="2E610ADB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64E74">
              <w:rPr>
                <w:b/>
                <w:bCs/>
                <w:sz w:val="20"/>
              </w:rPr>
              <w:t>Net Benefit</w:t>
            </w:r>
          </w:p>
        </w:tc>
      </w:tr>
      <w:tr w:rsidR="00AF4100" w:rsidRPr="00B64E74" w14:paraId="2F658BF8" w14:textId="77777777" w:rsidTr="00256D13">
        <w:tc>
          <w:tcPr>
            <w:tcW w:w="990" w:type="dxa"/>
            <w:shd w:val="clear" w:color="auto" w:fill="auto"/>
          </w:tcPr>
          <w:p w14:paraId="47320D85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 xml:space="preserve">All </w:t>
            </w:r>
          </w:p>
        </w:tc>
        <w:tc>
          <w:tcPr>
            <w:tcW w:w="918" w:type="dxa"/>
            <w:shd w:val="clear" w:color="auto" w:fill="auto"/>
          </w:tcPr>
          <w:p w14:paraId="663D7AB6" w14:textId="045A4748" w:rsidR="00AF4100" w:rsidRPr="00B64E74" w:rsidRDefault="00256D13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2019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5F997853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3529.16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DA9EAAF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2498.73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</w:tcPr>
          <w:p w14:paraId="1A9D0FF2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1030.42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16797EA0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1687.39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DFB6D15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1836.55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19497DE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3523.95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7C93064C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1016.38</w:t>
            </w:r>
          </w:p>
        </w:tc>
      </w:tr>
      <w:tr w:rsidR="00AF4100" w:rsidRPr="00B64E74" w14:paraId="3D37BCF5" w14:textId="77777777" w:rsidTr="00256D13">
        <w:tc>
          <w:tcPr>
            <w:tcW w:w="990" w:type="dxa"/>
            <w:shd w:val="clear" w:color="auto" w:fill="auto"/>
          </w:tcPr>
          <w:p w14:paraId="65B77465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Private</w:t>
            </w:r>
          </w:p>
        </w:tc>
        <w:tc>
          <w:tcPr>
            <w:tcW w:w="918" w:type="dxa"/>
            <w:shd w:val="clear" w:color="auto" w:fill="auto"/>
          </w:tcPr>
          <w:p w14:paraId="49F93596" w14:textId="2A1F0A14" w:rsidR="00AF4100" w:rsidRPr="00B64E74" w:rsidRDefault="00256D13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8898EBC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3758.14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035BAEE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2815.46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</w:tcPr>
          <w:p w14:paraId="38512762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942.68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1C60BC29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2008.9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61F3767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2319.92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69D4156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4328.45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49E04EB1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1504.43</w:t>
            </w:r>
          </w:p>
        </w:tc>
      </w:tr>
      <w:tr w:rsidR="00AF4100" w:rsidRPr="00B64E74" w14:paraId="1948390E" w14:textId="77777777" w:rsidTr="00256D13">
        <w:tc>
          <w:tcPr>
            <w:tcW w:w="990" w:type="dxa"/>
            <w:shd w:val="clear" w:color="auto" w:fill="auto"/>
          </w:tcPr>
          <w:p w14:paraId="1E58E8FC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18" w:type="dxa"/>
            <w:shd w:val="clear" w:color="auto" w:fill="auto"/>
          </w:tcPr>
          <w:p w14:paraId="53EEC730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Net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0A5C6CC2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228.98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auto"/>
          </w:tcPr>
          <w:p w14:paraId="16C50CAB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316.7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14:paraId="2083CCD2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-87.74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7B555FD0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324.51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1549B25D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483.33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auto"/>
          </w:tcPr>
          <w:p w14:paraId="474C60BE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804.5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</w:tcPr>
          <w:p w14:paraId="58283363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488.05</w:t>
            </w:r>
          </w:p>
        </w:tc>
      </w:tr>
      <w:tr w:rsidR="00AF4100" w:rsidRPr="00B64E74" w14:paraId="457E2CEE" w14:textId="77777777" w:rsidTr="00256D13">
        <w:tc>
          <w:tcPr>
            <w:tcW w:w="990" w:type="dxa"/>
            <w:shd w:val="clear" w:color="auto" w:fill="auto"/>
          </w:tcPr>
          <w:p w14:paraId="02C18AA2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18" w:type="dxa"/>
            <w:shd w:val="clear" w:color="auto" w:fill="auto"/>
          </w:tcPr>
          <w:p w14:paraId="55F01356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622A3B5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14:paraId="29EF42F4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031" w:type="dxa"/>
            <w:shd w:val="clear" w:color="auto" w:fill="auto"/>
          </w:tcPr>
          <w:p w14:paraId="5AE84934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C4D436F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5B20B03F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14:paraId="10164033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193" w:type="dxa"/>
            <w:shd w:val="clear" w:color="auto" w:fill="auto"/>
          </w:tcPr>
          <w:p w14:paraId="40A999CD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AF4100" w:rsidRPr="00B64E74" w14:paraId="20432DDA" w14:textId="77777777" w:rsidTr="00256D13">
        <w:tc>
          <w:tcPr>
            <w:tcW w:w="990" w:type="dxa"/>
            <w:shd w:val="clear" w:color="auto" w:fill="auto"/>
          </w:tcPr>
          <w:p w14:paraId="148E900A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FIA</w:t>
            </w:r>
          </w:p>
        </w:tc>
        <w:tc>
          <w:tcPr>
            <w:tcW w:w="918" w:type="dxa"/>
            <w:shd w:val="clear" w:color="auto" w:fill="auto"/>
          </w:tcPr>
          <w:p w14:paraId="3C38807D" w14:textId="6D7A00DF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20</w:t>
            </w:r>
            <w:r w:rsidR="00256D13">
              <w:rPr>
                <w:b/>
                <w:bCs/>
                <w:szCs w:val="22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14:paraId="5EA5FF5E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1636.16</w:t>
            </w:r>
          </w:p>
        </w:tc>
        <w:tc>
          <w:tcPr>
            <w:tcW w:w="1039" w:type="dxa"/>
            <w:shd w:val="clear" w:color="auto" w:fill="auto"/>
          </w:tcPr>
          <w:p w14:paraId="2142AFB0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1145.11</w:t>
            </w:r>
          </w:p>
        </w:tc>
        <w:tc>
          <w:tcPr>
            <w:tcW w:w="1031" w:type="dxa"/>
            <w:shd w:val="clear" w:color="auto" w:fill="auto"/>
          </w:tcPr>
          <w:p w14:paraId="165AB40E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491.06</w:t>
            </w:r>
          </w:p>
        </w:tc>
        <w:tc>
          <w:tcPr>
            <w:tcW w:w="1440" w:type="dxa"/>
            <w:shd w:val="clear" w:color="auto" w:fill="auto"/>
          </w:tcPr>
          <w:p w14:paraId="30BA2AA5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768.42</w:t>
            </w:r>
          </w:p>
        </w:tc>
        <w:tc>
          <w:tcPr>
            <w:tcW w:w="1170" w:type="dxa"/>
            <w:shd w:val="clear" w:color="auto" w:fill="auto"/>
          </w:tcPr>
          <w:p w14:paraId="7102C033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687.72</w:t>
            </w:r>
          </w:p>
        </w:tc>
        <w:tc>
          <w:tcPr>
            <w:tcW w:w="1039" w:type="dxa"/>
            <w:shd w:val="clear" w:color="auto" w:fill="auto"/>
          </w:tcPr>
          <w:p w14:paraId="11945094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1456.14</w:t>
            </w:r>
          </w:p>
        </w:tc>
        <w:tc>
          <w:tcPr>
            <w:tcW w:w="1193" w:type="dxa"/>
            <w:shd w:val="clear" w:color="auto" w:fill="auto"/>
          </w:tcPr>
          <w:p w14:paraId="01E3EE8C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307.70</w:t>
            </w:r>
          </w:p>
        </w:tc>
      </w:tr>
      <w:tr w:rsidR="00AF4100" w:rsidRPr="00B64E74" w14:paraId="0DE7E008" w14:textId="77777777" w:rsidTr="00256D13">
        <w:tc>
          <w:tcPr>
            <w:tcW w:w="990" w:type="dxa"/>
            <w:shd w:val="clear" w:color="auto" w:fill="auto"/>
          </w:tcPr>
          <w:p w14:paraId="4C42D87E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18" w:type="dxa"/>
            <w:shd w:val="clear" w:color="auto" w:fill="auto"/>
          </w:tcPr>
          <w:p w14:paraId="3B783184" w14:textId="62175755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202</w:t>
            </w:r>
            <w:r w:rsidR="00256D13">
              <w:rPr>
                <w:b/>
                <w:bCs/>
                <w:szCs w:val="22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0D106355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1766.46</w:t>
            </w:r>
          </w:p>
        </w:tc>
        <w:tc>
          <w:tcPr>
            <w:tcW w:w="1039" w:type="dxa"/>
            <w:shd w:val="clear" w:color="auto" w:fill="auto"/>
          </w:tcPr>
          <w:p w14:paraId="48BF6734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1358.57</w:t>
            </w:r>
          </w:p>
        </w:tc>
        <w:tc>
          <w:tcPr>
            <w:tcW w:w="1031" w:type="dxa"/>
            <w:shd w:val="clear" w:color="auto" w:fill="auto"/>
          </w:tcPr>
          <w:p w14:paraId="71E71FFD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407.89</w:t>
            </w:r>
          </w:p>
        </w:tc>
        <w:tc>
          <w:tcPr>
            <w:tcW w:w="1440" w:type="dxa"/>
            <w:shd w:val="clear" w:color="auto" w:fill="auto"/>
          </w:tcPr>
          <w:p w14:paraId="4AC30E8B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925.06</w:t>
            </w:r>
          </w:p>
        </w:tc>
        <w:tc>
          <w:tcPr>
            <w:tcW w:w="1170" w:type="dxa"/>
            <w:shd w:val="clear" w:color="auto" w:fill="auto"/>
          </w:tcPr>
          <w:p w14:paraId="3811B80C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817.17</w:t>
            </w:r>
          </w:p>
        </w:tc>
        <w:tc>
          <w:tcPr>
            <w:tcW w:w="1039" w:type="dxa"/>
            <w:shd w:val="clear" w:color="auto" w:fill="auto"/>
          </w:tcPr>
          <w:p w14:paraId="1ACE7E20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1792.22</w:t>
            </w:r>
          </w:p>
        </w:tc>
        <w:tc>
          <w:tcPr>
            <w:tcW w:w="1193" w:type="dxa"/>
            <w:shd w:val="clear" w:color="auto" w:fill="auto"/>
          </w:tcPr>
          <w:p w14:paraId="7EC95C53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380.37</w:t>
            </w:r>
          </w:p>
        </w:tc>
      </w:tr>
      <w:tr w:rsidR="00AF4100" w:rsidRPr="00B64E74" w14:paraId="79098059" w14:textId="77777777" w:rsidTr="00256D13">
        <w:tc>
          <w:tcPr>
            <w:tcW w:w="990" w:type="dxa"/>
            <w:shd w:val="clear" w:color="auto" w:fill="auto"/>
          </w:tcPr>
          <w:p w14:paraId="138A3A66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18" w:type="dxa"/>
            <w:shd w:val="clear" w:color="auto" w:fill="auto"/>
          </w:tcPr>
          <w:p w14:paraId="38EF03F7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Net</w:t>
            </w:r>
          </w:p>
        </w:tc>
        <w:tc>
          <w:tcPr>
            <w:tcW w:w="1260" w:type="dxa"/>
            <w:shd w:val="clear" w:color="auto" w:fill="auto"/>
          </w:tcPr>
          <w:p w14:paraId="4477FB50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130.30</w:t>
            </w:r>
          </w:p>
        </w:tc>
        <w:tc>
          <w:tcPr>
            <w:tcW w:w="1039" w:type="dxa"/>
            <w:shd w:val="clear" w:color="auto" w:fill="auto"/>
          </w:tcPr>
          <w:p w14:paraId="49F10B12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213.46</w:t>
            </w:r>
          </w:p>
        </w:tc>
        <w:tc>
          <w:tcPr>
            <w:tcW w:w="1031" w:type="dxa"/>
            <w:shd w:val="clear" w:color="auto" w:fill="auto"/>
          </w:tcPr>
          <w:p w14:paraId="3F4297AB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-83.17</w:t>
            </w:r>
          </w:p>
        </w:tc>
        <w:tc>
          <w:tcPr>
            <w:tcW w:w="1440" w:type="dxa"/>
            <w:shd w:val="clear" w:color="auto" w:fill="auto"/>
          </w:tcPr>
          <w:p w14:paraId="78C144B3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156.64</w:t>
            </w:r>
          </w:p>
        </w:tc>
        <w:tc>
          <w:tcPr>
            <w:tcW w:w="1170" w:type="dxa"/>
            <w:shd w:val="clear" w:color="auto" w:fill="auto"/>
          </w:tcPr>
          <w:p w14:paraId="29756F1B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129.45</w:t>
            </w:r>
          </w:p>
        </w:tc>
        <w:tc>
          <w:tcPr>
            <w:tcW w:w="1039" w:type="dxa"/>
            <w:shd w:val="clear" w:color="auto" w:fill="auto"/>
          </w:tcPr>
          <w:p w14:paraId="19341DD3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286.08</w:t>
            </w:r>
          </w:p>
        </w:tc>
        <w:tc>
          <w:tcPr>
            <w:tcW w:w="1193" w:type="dxa"/>
            <w:shd w:val="clear" w:color="auto" w:fill="auto"/>
          </w:tcPr>
          <w:p w14:paraId="7F68F846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72.67</w:t>
            </w:r>
          </w:p>
        </w:tc>
      </w:tr>
      <w:tr w:rsidR="00AF4100" w:rsidRPr="00B64E74" w14:paraId="4B1C11BC" w14:textId="77777777" w:rsidTr="00256D13">
        <w:tc>
          <w:tcPr>
            <w:tcW w:w="990" w:type="dxa"/>
            <w:shd w:val="clear" w:color="auto" w:fill="auto"/>
          </w:tcPr>
          <w:p w14:paraId="7C8DDE53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18" w:type="dxa"/>
            <w:shd w:val="clear" w:color="auto" w:fill="auto"/>
          </w:tcPr>
          <w:p w14:paraId="69970A10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26A0803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14:paraId="18C25321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031" w:type="dxa"/>
            <w:shd w:val="clear" w:color="auto" w:fill="auto"/>
          </w:tcPr>
          <w:p w14:paraId="71FBCC03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3CE83AD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049E75F8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14:paraId="4E2050B5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193" w:type="dxa"/>
            <w:shd w:val="clear" w:color="auto" w:fill="auto"/>
          </w:tcPr>
          <w:p w14:paraId="48C510A3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AF4100" w:rsidRPr="00B64E74" w14:paraId="6B985D34" w14:textId="77777777" w:rsidTr="00256D13">
        <w:tc>
          <w:tcPr>
            <w:tcW w:w="990" w:type="dxa"/>
            <w:shd w:val="clear" w:color="auto" w:fill="auto"/>
          </w:tcPr>
          <w:p w14:paraId="0EE12EF1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PE</w:t>
            </w:r>
          </w:p>
        </w:tc>
        <w:tc>
          <w:tcPr>
            <w:tcW w:w="918" w:type="dxa"/>
            <w:shd w:val="clear" w:color="auto" w:fill="auto"/>
          </w:tcPr>
          <w:p w14:paraId="6FD29EA0" w14:textId="3C9924E3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20</w:t>
            </w:r>
            <w:r w:rsidR="00256D13">
              <w:rPr>
                <w:b/>
                <w:bCs/>
                <w:szCs w:val="22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14:paraId="7E1C6079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1021.59</w:t>
            </w:r>
          </w:p>
        </w:tc>
        <w:tc>
          <w:tcPr>
            <w:tcW w:w="1039" w:type="dxa"/>
            <w:shd w:val="clear" w:color="auto" w:fill="auto"/>
          </w:tcPr>
          <w:p w14:paraId="21AE0802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753.45</w:t>
            </w:r>
          </w:p>
        </w:tc>
        <w:tc>
          <w:tcPr>
            <w:tcW w:w="1031" w:type="dxa"/>
            <w:shd w:val="clear" w:color="auto" w:fill="auto"/>
          </w:tcPr>
          <w:p w14:paraId="2C75E68E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268.14</w:t>
            </w:r>
          </w:p>
        </w:tc>
        <w:tc>
          <w:tcPr>
            <w:tcW w:w="1440" w:type="dxa"/>
            <w:shd w:val="clear" w:color="auto" w:fill="auto"/>
          </w:tcPr>
          <w:p w14:paraId="421AA768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488.51</w:t>
            </w:r>
          </w:p>
        </w:tc>
        <w:tc>
          <w:tcPr>
            <w:tcW w:w="1170" w:type="dxa"/>
            <w:shd w:val="clear" w:color="auto" w:fill="auto"/>
          </w:tcPr>
          <w:p w14:paraId="1395281C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773.76</w:t>
            </w:r>
          </w:p>
        </w:tc>
        <w:tc>
          <w:tcPr>
            <w:tcW w:w="1039" w:type="dxa"/>
            <w:shd w:val="clear" w:color="auto" w:fill="auto"/>
          </w:tcPr>
          <w:p w14:paraId="5C308027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1262.29</w:t>
            </w:r>
          </w:p>
        </w:tc>
        <w:tc>
          <w:tcPr>
            <w:tcW w:w="1193" w:type="dxa"/>
            <w:shd w:val="clear" w:color="auto" w:fill="auto"/>
          </w:tcPr>
          <w:p w14:paraId="4BB14B08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508.96</w:t>
            </w:r>
          </w:p>
        </w:tc>
      </w:tr>
      <w:tr w:rsidR="00AF4100" w:rsidRPr="00B64E74" w14:paraId="56819167" w14:textId="77777777" w:rsidTr="00256D13">
        <w:tc>
          <w:tcPr>
            <w:tcW w:w="990" w:type="dxa"/>
            <w:shd w:val="clear" w:color="auto" w:fill="auto"/>
          </w:tcPr>
          <w:p w14:paraId="4F3C71ED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18" w:type="dxa"/>
            <w:shd w:val="clear" w:color="auto" w:fill="auto"/>
          </w:tcPr>
          <w:p w14:paraId="5CEB6970" w14:textId="714B5FD4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202</w:t>
            </w:r>
            <w:r w:rsidR="00256D13">
              <w:rPr>
                <w:b/>
                <w:bCs/>
                <w:szCs w:val="22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4E38CD72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1103.94</w:t>
            </w:r>
          </w:p>
        </w:tc>
        <w:tc>
          <w:tcPr>
            <w:tcW w:w="1039" w:type="dxa"/>
            <w:shd w:val="clear" w:color="auto" w:fill="auto"/>
          </w:tcPr>
          <w:p w14:paraId="742E6D7F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820.25</w:t>
            </w:r>
          </w:p>
        </w:tc>
        <w:tc>
          <w:tcPr>
            <w:tcW w:w="1031" w:type="dxa"/>
            <w:shd w:val="clear" w:color="auto" w:fill="auto"/>
          </w:tcPr>
          <w:p w14:paraId="342B8E3C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283.69</w:t>
            </w:r>
          </w:p>
        </w:tc>
        <w:tc>
          <w:tcPr>
            <w:tcW w:w="1440" w:type="dxa"/>
            <w:shd w:val="clear" w:color="auto" w:fill="auto"/>
          </w:tcPr>
          <w:p w14:paraId="05FC5942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610.10</w:t>
            </w:r>
          </w:p>
        </w:tc>
        <w:tc>
          <w:tcPr>
            <w:tcW w:w="1170" w:type="dxa"/>
            <w:shd w:val="clear" w:color="auto" w:fill="auto"/>
          </w:tcPr>
          <w:p w14:paraId="3CF8FB10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1018.94</w:t>
            </w:r>
          </w:p>
        </w:tc>
        <w:tc>
          <w:tcPr>
            <w:tcW w:w="1039" w:type="dxa"/>
            <w:shd w:val="clear" w:color="auto" w:fill="auto"/>
          </w:tcPr>
          <w:p w14:paraId="36C47698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1629.04</w:t>
            </w:r>
          </w:p>
        </w:tc>
        <w:tc>
          <w:tcPr>
            <w:tcW w:w="1193" w:type="dxa"/>
            <w:shd w:val="clear" w:color="auto" w:fill="auto"/>
          </w:tcPr>
          <w:p w14:paraId="2A0680A2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808.91</w:t>
            </w:r>
          </w:p>
        </w:tc>
      </w:tr>
      <w:tr w:rsidR="00AF4100" w:rsidRPr="00B64E74" w14:paraId="1683492F" w14:textId="77777777" w:rsidTr="00256D13">
        <w:trPr>
          <w:trHeight w:val="269"/>
        </w:trPr>
        <w:tc>
          <w:tcPr>
            <w:tcW w:w="990" w:type="dxa"/>
            <w:shd w:val="clear" w:color="auto" w:fill="auto"/>
          </w:tcPr>
          <w:p w14:paraId="43B4125B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18" w:type="dxa"/>
            <w:shd w:val="clear" w:color="auto" w:fill="auto"/>
          </w:tcPr>
          <w:p w14:paraId="6E310326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Net</w:t>
            </w:r>
          </w:p>
        </w:tc>
        <w:tc>
          <w:tcPr>
            <w:tcW w:w="1260" w:type="dxa"/>
            <w:shd w:val="clear" w:color="auto" w:fill="auto"/>
          </w:tcPr>
          <w:p w14:paraId="6952BDB1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82.35</w:t>
            </w:r>
          </w:p>
        </w:tc>
        <w:tc>
          <w:tcPr>
            <w:tcW w:w="1039" w:type="dxa"/>
            <w:shd w:val="clear" w:color="auto" w:fill="auto"/>
          </w:tcPr>
          <w:p w14:paraId="264416EE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66.8</w:t>
            </w:r>
          </w:p>
        </w:tc>
        <w:tc>
          <w:tcPr>
            <w:tcW w:w="1031" w:type="dxa"/>
            <w:shd w:val="clear" w:color="auto" w:fill="auto"/>
          </w:tcPr>
          <w:p w14:paraId="1D3063F5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15.55</w:t>
            </w:r>
          </w:p>
        </w:tc>
        <w:tc>
          <w:tcPr>
            <w:tcW w:w="1440" w:type="dxa"/>
            <w:shd w:val="clear" w:color="auto" w:fill="auto"/>
          </w:tcPr>
          <w:p w14:paraId="64776A05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121.59</w:t>
            </w:r>
          </w:p>
        </w:tc>
        <w:tc>
          <w:tcPr>
            <w:tcW w:w="1170" w:type="dxa"/>
            <w:shd w:val="clear" w:color="auto" w:fill="auto"/>
          </w:tcPr>
          <w:p w14:paraId="542B2E9D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245.18</w:t>
            </w:r>
          </w:p>
        </w:tc>
        <w:tc>
          <w:tcPr>
            <w:tcW w:w="1039" w:type="dxa"/>
            <w:shd w:val="clear" w:color="auto" w:fill="auto"/>
          </w:tcPr>
          <w:p w14:paraId="17A80CFD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366.75</w:t>
            </w:r>
          </w:p>
        </w:tc>
        <w:tc>
          <w:tcPr>
            <w:tcW w:w="1193" w:type="dxa"/>
            <w:shd w:val="clear" w:color="auto" w:fill="auto"/>
          </w:tcPr>
          <w:p w14:paraId="2506F21F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299.95</w:t>
            </w:r>
          </w:p>
        </w:tc>
      </w:tr>
      <w:tr w:rsidR="00AF4100" w:rsidRPr="00B64E74" w14:paraId="1E289F3B" w14:textId="77777777" w:rsidTr="00256D13">
        <w:tc>
          <w:tcPr>
            <w:tcW w:w="990" w:type="dxa"/>
            <w:shd w:val="clear" w:color="auto" w:fill="auto"/>
          </w:tcPr>
          <w:p w14:paraId="459B5336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18" w:type="dxa"/>
            <w:shd w:val="clear" w:color="auto" w:fill="auto"/>
          </w:tcPr>
          <w:p w14:paraId="72D40EDD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C4B22BB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14:paraId="79802FE1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031" w:type="dxa"/>
            <w:shd w:val="clear" w:color="auto" w:fill="auto"/>
          </w:tcPr>
          <w:p w14:paraId="45B9C3AC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2947DEC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15AF7172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14:paraId="069FEA6D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193" w:type="dxa"/>
            <w:shd w:val="clear" w:color="auto" w:fill="auto"/>
          </w:tcPr>
          <w:p w14:paraId="3FF11111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AF4100" w:rsidRPr="00B64E74" w14:paraId="55FACFA2" w14:textId="77777777" w:rsidTr="00256D13">
        <w:tc>
          <w:tcPr>
            <w:tcW w:w="990" w:type="dxa"/>
            <w:shd w:val="clear" w:color="auto" w:fill="auto"/>
          </w:tcPr>
          <w:p w14:paraId="17715D0C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RA</w:t>
            </w:r>
          </w:p>
        </w:tc>
        <w:tc>
          <w:tcPr>
            <w:tcW w:w="918" w:type="dxa"/>
            <w:shd w:val="clear" w:color="auto" w:fill="auto"/>
          </w:tcPr>
          <w:p w14:paraId="730B5B31" w14:textId="607DB252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20</w:t>
            </w:r>
            <w:r w:rsidR="00256D13">
              <w:rPr>
                <w:b/>
                <w:bCs/>
                <w:szCs w:val="22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14:paraId="15B64BBB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871.40</w:t>
            </w:r>
          </w:p>
        </w:tc>
        <w:tc>
          <w:tcPr>
            <w:tcW w:w="1039" w:type="dxa"/>
            <w:shd w:val="clear" w:color="auto" w:fill="auto"/>
          </w:tcPr>
          <w:p w14:paraId="0D841230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600.18</w:t>
            </w:r>
          </w:p>
        </w:tc>
        <w:tc>
          <w:tcPr>
            <w:tcW w:w="1031" w:type="dxa"/>
            <w:shd w:val="clear" w:color="auto" w:fill="auto"/>
          </w:tcPr>
          <w:p w14:paraId="1EBA7955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271.23</w:t>
            </w:r>
          </w:p>
        </w:tc>
        <w:tc>
          <w:tcPr>
            <w:tcW w:w="1440" w:type="dxa"/>
            <w:shd w:val="clear" w:color="auto" w:fill="auto"/>
          </w:tcPr>
          <w:p w14:paraId="72CD66B3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430.46</w:t>
            </w:r>
          </w:p>
        </w:tc>
        <w:tc>
          <w:tcPr>
            <w:tcW w:w="1170" w:type="dxa"/>
            <w:shd w:val="clear" w:color="auto" w:fill="auto"/>
          </w:tcPr>
          <w:p w14:paraId="4CE9E367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375.06</w:t>
            </w:r>
          </w:p>
        </w:tc>
        <w:tc>
          <w:tcPr>
            <w:tcW w:w="1039" w:type="dxa"/>
            <w:shd w:val="clear" w:color="auto" w:fill="auto"/>
          </w:tcPr>
          <w:p w14:paraId="43C5C25B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805.52</w:t>
            </w:r>
          </w:p>
        </w:tc>
        <w:tc>
          <w:tcPr>
            <w:tcW w:w="1193" w:type="dxa"/>
            <w:shd w:val="clear" w:color="auto" w:fill="auto"/>
          </w:tcPr>
          <w:p w14:paraId="14BDF208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199.72</w:t>
            </w:r>
          </w:p>
        </w:tc>
      </w:tr>
      <w:tr w:rsidR="00AF4100" w:rsidRPr="00B64E74" w14:paraId="747E4EF8" w14:textId="77777777" w:rsidTr="00256D13">
        <w:tc>
          <w:tcPr>
            <w:tcW w:w="990" w:type="dxa"/>
            <w:shd w:val="clear" w:color="auto" w:fill="auto"/>
          </w:tcPr>
          <w:p w14:paraId="11FC5292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18" w:type="dxa"/>
            <w:shd w:val="clear" w:color="auto" w:fill="auto"/>
          </w:tcPr>
          <w:p w14:paraId="17F860EA" w14:textId="0CAFFE5C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202</w:t>
            </w:r>
            <w:r w:rsidR="00256D13">
              <w:rPr>
                <w:b/>
                <w:bCs/>
                <w:szCs w:val="22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2EAABB7D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887.74</w:t>
            </w:r>
          </w:p>
        </w:tc>
        <w:tc>
          <w:tcPr>
            <w:tcW w:w="1039" w:type="dxa"/>
            <w:shd w:val="clear" w:color="auto" w:fill="auto"/>
          </w:tcPr>
          <w:p w14:paraId="66E77303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636.64</w:t>
            </w:r>
          </w:p>
        </w:tc>
        <w:tc>
          <w:tcPr>
            <w:tcW w:w="1031" w:type="dxa"/>
            <w:shd w:val="clear" w:color="auto" w:fill="auto"/>
          </w:tcPr>
          <w:p w14:paraId="58343AAA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251.10</w:t>
            </w:r>
          </w:p>
        </w:tc>
        <w:tc>
          <w:tcPr>
            <w:tcW w:w="1440" w:type="dxa"/>
            <w:shd w:val="clear" w:color="auto" w:fill="auto"/>
          </w:tcPr>
          <w:p w14:paraId="66BB8045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473.74</w:t>
            </w:r>
          </w:p>
        </w:tc>
        <w:tc>
          <w:tcPr>
            <w:tcW w:w="1170" w:type="dxa"/>
            <w:shd w:val="clear" w:color="auto" w:fill="auto"/>
          </w:tcPr>
          <w:p w14:paraId="4234C237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483.81</w:t>
            </w:r>
          </w:p>
        </w:tc>
        <w:tc>
          <w:tcPr>
            <w:tcW w:w="1039" w:type="dxa"/>
            <w:shd w:val="clear" w:color="auto" w:fill="auto"/>
          </w:tcPr>
          <w:p w14:paraId="7D0B8813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957.55</w:t>
            </w:r>
          </w:p>
        </w:tc>
        <w:tc>
          <w:tcPr>
            <w:tcW w:w="1193" w:type="dxa"/>
            <w:shd w:val="clear" w:color="auto" w:fill="auto"/>
          </w:tcPr>
          <w:p w14:paraId="3E7047C6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64E74">
              <w:rPr>
                <w:szCs w:val="22"/>
              </w:rPr>
              <w:t>315.17</w:t>
            </w:r>
          </w:p>
        </w:tc>
      </w:tr>
      <w:tr w:rsidR="00AF4100" w:rsidRPr="00B64E74" w14:paraId="56FEDE16" w14:textId="77777777" w:rsidTr="00256D13">
        <w:tc>
          <w:tcPr>
            <w:tcW w:w="990" w:type="dxa"/>
            <w:shd w:val="clear" w:color="auto" w:fill="auto"/>
          </w:tcPr>
          <w:p w14:paraId="2CA86A58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18" w:type="dxa"/>
            <w:shd w:val="clear" w:color="auto" w:fill="auto"/>
          </w:tcPr>
          <w:p w14:paraId="54047B53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Net</w:t>
            </w:r>
          </w:p>
        </w:tc>
        <w:tc>
          <w:tcPr>
            <w:tcW w:w="1260" w:type="dxa"/>
            <w:shd w:val="clear" w:color="auto" w:fill="auto"/>
          </w:tcPr>
          <w:p w14:paraId="4AFBF253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16.34</w:t>
            </w:r>
          </w:p>
        </w:tc>
        <w:tc>
          <w:tcPr>
            <w:tcW w:w="1039" w:type="dxa"/>
            <w:shd w:val="clear" w:color="auto" w:fill="auto"/>
          </w:tcPr>
          <w:p w14:paraId="3E8C2575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36.46</w:t>
            </w:r>
          </w:p>
        </w:tc>
        <w:tc>
          <w:tcPr>
            <w:tcW w:w="1031" w:type="dxa"/>
            <w:shd w:val="clear" w:color="auto" w:fill="auto"/>
          </w:tcPr>
          <w:p w14:paraId="2185C209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-20.13</w:t>
            </w:r>
          </w:p>
        </w:tc>
        <w:tc>
          <w:tcPr>
            <w:tcW w:w="1440" w:type="dxa"/>
            <w:shd w:val="clear" w:color="auto" w:fill="auto"/>
          </w:tcPr>
          <w:p w14:paraId="2371A684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43.28</w:t>
            </w:r>
          </w:p>
        </w:tc>
        <w:tc>
          <w:tcPr>
            <w:tcW w:w="1170" w:type="dxa"/>
            <w:shd w:val="clear" w:color="auto" w:fill="auto"/>
          </w:tcPr>
          <w:p w14:paraId="5A0DE839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108.75</w:t>
            </w:r>
          </w:p>
        </w:tc>
        <w:tc>
          <w:tcPr>
            <w:tcW w:w="1039" w:type="dxa"/>
            <w:shd w:val="clear" w:color="auto" w:fill="auto"/>
          </w:tcPr>
          <w:p w14:paraId="6292BD7A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152.03</w:t>
            </w:r>
          </w:p>
        </w:tc>
        <w:tc>
          <w:tcPr>
            <w:tcW w:w="1193" w:type="dxa"/>
            <w:shd w:val="clear" w:color="auto" w:fill="auto"/>
          </w:tcPr>
          <w:p w14:paraId="327BEB4E" w14:textId="77777777" w:rsidR="00AF4100" w:rsidRPr="00B64E74" w:rsidRDefault="00AF4100" w:rsidP="00195FC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64E74">
              <w:rPr>
                <w:b/>
                <w:bCs/>
                <w:szCs w:val="22"/>
              </w:rPr>
              <w:t>115.45</w:t>
            </w:r>
          </w:p>
        </w:tc>
      </w:tr>
    </w:tbl>
    <w:p w14:paraId="0A9AC82A" w14:textId="77777777" w:rsidR="00AF4100" w:rsidRDefault="00AF4100" w:rsidP="00AF4100">
      <w:pPr>
        <w:autoSpaceDE w:val="0"/>
        <w:autoSpaceDN w:val="0"/>
        <w:adjustRightInd w:val="0"/>
        <w:rPr>
          <w:szCs w:val="22"/>
        </w:rPr>
      </w:pPr>
    </w:p>
    <w:p w14:paraId="6EFDA263" w14:textId="77777777" w:rsidR="00AF4100" w:rsidRDefault="00AF4100" w:rsidP="00AF4100">
      <w:pPr>
        <w:autoSpaceDE w:val="0"/>
        <w:autoSpaceDN w:val="0"/>
        <w:adjustRightInd w:val="0"/>
        <w:rPr>
          <w:szCs w:val="22"/>
        </w:rPr>
      </w:pPr>
    </w:p>
    <w:p w14:paraId="134B9379" w14:textId="77777777" w:rsidR="00AF4100" w:rsidRDefault="00AF4100" w:rsidP="00AF4100">
      <w:pPr>
        <w:numPr>
          <w:ilvl w:val="0"/>
          <w:numId w:val="43"/>
        </w:num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Robust distributions from our Private portfolio have been used to fund pension payments and increase the Fixed Income holdings.</w:t>
      </w:r>
    </w:p>
    <w:p w14:paraId="556544D3" w14:textId="77777777" w:rsidR="00AF4100" w:rsidRPr="008B4437" w:rsidRDefault="00AF4100" w:rsidP="00AF4100">
      <w:pPr>
        <w:numPr>
          <w:ilvl w:val="0"/>
          <w:numId w:val="43"/>
        </w:numPr>
        <w:autoSpaceDE w:val="0"/>
        <w:autoSpaceDN w:val="0"/>
        <w:adjustRightInd w:val="0"/>
        <w:rPr>
          <w:szCs w:val="22"/>
        </w:rPr>
      </w:pPr>
      <w:r w:rsidRPr="008B4437">
        <w:rPr>
          <w:szCs w:val="22"/>
        </w:rPr>
        <w:t xml:space="preserve">Savanna fund III focused on New York real estate reached out regarding needing more liquidity. The fund is seeking to subordinate LPs’ and raise </w:t>
      </w:r>
      <w:r>
        <w:rPr>
          <w:szCs w:val="22"/>
        </w:rPr>
        <w:t>$</w:t>
      </w:r>
      <w:r w:rsidRPr="008B4437">
        <w:rPr>
          <w:szCs w:val="22"/>
        </w:rPr>
        <w:t>45 million in equity. We are negotiating the terms. The expectation right now is that we will get 96% of our investment back from the fund.</w:t>
      </w:r>
      <w:r>
        <w:rPr>
          <w:szCs w:val="22"/>
        </w:rPr>
        <w:t xml:space="preserve"> We are in the process of negotiating the terms with the manager.</w:t>
      </w:r>
    </w:p>
    <w:p w14:paraId="290E3183" w14:textId="77777777" w:rsidR="00AF4100" w:rsidRDefault="00AF4100" w:rsidP="00AF4100">
      <w:pPr>
        <w:numPr>
          <w:ilvl w:val="0"/>
          <w:numId w:val="43"/>
        </w:num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We are seeing considerable improvement in Fixed Income Alternative pricing and energy investments in the current year.</w:t>
      </w:r>
    </w:p>
    <w:p w14:paraId="208E46C8" w14:textId="62F0F05A" w:rsidR="00AF4100" w:rsidRPr="00BA104A" w:rsidRDefault="00AF4100" w:rsidP="00AF4100">
      <w:pPr>
        <w:numPr>
          <w:ilvl w:val="0"/>
          <w:numId w:val="43"/>
        </w:num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Over the next 3 to 12 months, we will reduce our overexposure to domestic equity in favor of Alternative Fixed Income.</w:t>
      </w:r>
    </w:p>
    <w:p w14:paraId="0D3E387B" w14:textId="70028DE6" w:rsidR="00AF4100" w:rsidRDefault="00AF4100" w:rsidP="00AF4100">
      <w:pPr>
        <w:numPr>
          <w:ilvl w:val="0"/>
          <w:numId w:val="43"/>
        </w:num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We increased the commitment to the PIMCO TacOps fund by $20 million during the quarter. The Committee previously approved up to $100 million. We are now committed for </w:t>
      </w:r>
      <w:r w:rsidR="001E660E">
        <w:rPr>
          <w:szCs w:val="22"/>
        </w:rPr>
        <w:t>$</w:t>
      </w:r>
      <w:r>
        <w:rPr>
          <w:szCs w:val="22"/>
        </w:rPr>
        <w:t>60 million.</w:t>
      </w:r>
    </w:p>
    <w:p w14:paraId="270987A6" w14:textId="77777777" w:rsidR="00AF4100" w:rsidRPr="000B7178" w:rsidRDefault="00AF4100" w:rsidP="00AF4100">
      <w:pPr>
        <w:numPr>
          <w:ilvl w:val="0"/>
          <w:numId w:val="43"/>
        </w:num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China is focused on developing four areas of their domestic economy.</w:t>
      </w:r>
    </w:p>
    <w:p w14:paraId="124DF6EB" w14:textId="77777777" w:rsidR="00AF4100" w:rsidRPr="00E321B7" w:rsidRDefault="00AF4100" w:rsidP="00AF4100">
      <w:pPr>
        <w:autoSpaceDE w:val="0"/>
        <w:autoSpaceDN w:val="0"/>
        <w:adjustRightInd w:val="0"/>
        <w:ind w:left="360"/>
        <w:rPr>
          <w:bCs/>
          <w:szCs w:val="22"/>
        </w:rPr>
      </w:pPr>
    </w:p>
    <w:p w14:paraId="540652F6" w14:textId="77777777" w:rsidR="00AF4100" w:rsidRPr="00AF4100" w:rsidRDefault="00AF4100" w:rsidP="00AF4100">
      <w:pPr>
        <w:autoSpaceDE w:val="0"/>
        <w:autoSpaceDN w:val="0"/>
        <w:adjustRightInd w:val="0"/>
        <w:ind w:firstLine="360"/>
        <w:rPr>
          <w:bCs/>
          <w:szCs w:val="22"/>
        </w:rPr>
      </w:pPr>
      <w:r w:rsidRPr="00AF4100">
        <w:rPr>
          <w:b/>
          <w:szCs w:val="22"/>
        </w:rPr>
        <w:t>Recommendations:</w:t>
      </w:r>
    </w:p>
    <w:p w14:paraId="11A98D0C" w14:textId="77777777" w:rsidR="00AF4100" w:rsidRDefault="00AF4100" w:rsidP="00AF4100">
      <w:pPr>
        <w:autoSpaceDE w:val="0"/>
        <w:autoSpaceDN w:val="0"/>
        <w:adjustRightInd w:val="0"/>
        <w:rPr>
          <w:b/>
          <w:szCs w:val="22"/>
        </w:rPr>
      </w:pPr>
    </w:p>
    <w:p w14:paraId="3094CB7E" w14:textId="6A567B5B" w:rsidR="00AF4100" w:rsidRDefault="00AF4100" w:rsidP="00AF4100">
      <w:pPr>
        <w:autoSpaceDE w:val="0"/>
        <w:autoSpaceDN w:val="0"/>
        <w:adjustRightInd w:val="0"/>
        <w:ind w:firstLine="360"/>
        <w:rPr>
          <w:b/>
          <w:szCs w:val="22"/>
        </w:rPr>
      </w:pPr>
      <w:r>
        <w:rPr>
          <w:b/>
          <w:szCs w:val="22"/>
        </w:rPr>
        <w:t xml:space="preserve">Private Equity:  </w:t>
      </w:r>
    </w:p>
    <w:p w14:paraId="12C74EE4" w14:textId="77777777" w:rsidR="00256D13" w:rsidRDefault="00256D13" w:rsidP="00AF4100">
      <w:pPr>
        <w:autoSpaceDE w:val="0"/>
        <w:autoSpaceDN w:val="0"/>
        <w:adjustRightInd w:val="0"/>
        <w:ind w:firstLine="360"/>
        <w:rPr>
          <w:b/>
          <w:szCs w:val="22"/>
        </w:rPr>
      </w:pPr>
    </w:p>
    <w:p w14:paraId="574F7B36" w14:textId="77777777" w:rsidR="00AF4100" w:rsidRPr="00A6723F" w:rsidRDefault="00AF4100" w:rsidP="00AF4100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b/>
          <w:szCs w:val="22"/>
        </w:rPr>
      </w:pPr>
      <w:r w:rsidRPr="00A6723F">
        <w:rPr>
          <w:b/>
          <w:szCs w:val="22"/>
          <w:u w:val="single"/>
        </w:rPr>
        <w:t>Axiom Asia Co-Investment Fund II, L.P.:</w:t>
      </w:r>
    </w:p>
    <w:p w14:paraId="1F36A9AD" w14:textId="61DFCCA9" w:rsidR="00AF4100" w:rsidRDefault="00AF4100" w:rsidP="007B0C38">
      <w:pPr>
        <w:autoSpaceDE w:val="0"/>
        <w:autoSpaceDN w:val="0"/>
        <w:adjustRightInd w:val="0"/>
        <w:ind w:left="720"/>
        <w:rPr>
          <w:bCs/>
          <w:szCs w:val="22"/>
        </w:rPr>
      </w:pPr>
      <w:r>
        <w:rPr>
          <w:bCs/>
          <w:szCs w:val="22"/>
        </w:rPr>
        <w:t xml:space="preserve">Mr. </w:t>
      </w:r>
      <w:r w:rsidR="00DB0493">
        <w:rPr>
          <w:bCs/>
          <w:szCs w:val="22"/>
        </w:rPr>
        <w:t>BouSamra</w:t>
      </w:r>
      <w:r>
        <w:rPr>
          <w:bCs/>
          <w:szCs w:val="22"/>
        </w:rPr>
        <w:t xml:space="preserve"> explained this fund is set up to invest in Co-investment overflow from Axiom Asia VI.  He also mentioned the Metro Pension invested $10 million in the predecessor fund.</w:t>
      </w:r>
      <w:r w:rsidR="00DB0493">
        <w:rPr>
          <w:bCs/>
          <w:szCs w:val="22"/>
        </w:rPr>
        <w:t xml:space="preserve">  </w:t>
      </w:r>
    </w:p>
    <w:p w14:paraId="61BB675A" w14:textId="77777777" w:rsidR="00256D13" w:rsidRDefault="00256D13" w:rsidP="007B0C38">
      <w:pPr>
        <w:autoSpaceDE w:val="0"/>
        <w:autoSpaceDN w:val="0"/>
        <w:adjustRightInd w:val="0"/>
        <w:ind w:left="720"/>
        <w:rPr>
          <w:bCs/>
          <w:szCs w:val="22"/>
        </w:rPr>
      </w:pPr>
    </w:p>
    <w:p w14:paraId="49D161F8" w14:textId="77777777" w:rsidR="007B0C38" w:rsidRPr="009E6D67" w:rsidRDefault="007B0C38" w:rsidP="007B0C38">
      <w:pPr>
        <w:numPr>
          <w:ilvl w:val="1"/>
          <w:numId w:val="15"/>
        </w:numPr>
        <w:tabs>
          <w:tab w:val="clear" w:pos="1080"/>
        </w:tabs>
        <w:autoSpaceDE w:val="0"/>
        <w:autoSpaceDN w:val="0"/>
        <w:adjustRightInd w:val="0"/>
        <w:rPr>
          <w:b/>
          <w:szCs w:val="22"/>
        </w:rPr>
      </w:pPr>
      <w:r w:rsidRPr="00470912">
        <w:rPr>
          <w:b/>
          <w:szCs w:val="22"/>
          <w:u w:val="single"/>
        </w:rPr>
        <w:t>Axiom Asia Opportunity Fund</w:t>
      </w:r>
      <w:r w:rsidRPr="009E6D67">
        <w:rPr>
          <w:b/>
          <w:szCs w:val="22"/>
        </w:rPr>
        <w:t>:</w:t>
      </w:r>
    </w:p>
    <w:p w14:paraId="00A854CB" w14:textId="7DF05ABB" w:rsidR="007B0C38" w:rsidRDefault="007B0C38" w:rsidP="007B0C38">
      <w:pPr>
        <w:autoSpaceDE w:val="0"/>
        <w:autoSpaceDN w:val="0"/>
        <w:adjustRightInd w:val="0"/>
        <w:ind w:left="720"/>
        <w:rPr>
          <w:bCs/>
          <w:szCs w:val="22"/>
        </w:rPr>
      </w:pPr>
      <w:r>
        <w:rPr>
          <w:bCs/>
          <w:szCs w:val="22"/>
        </w:rPr>
        <w:t>Mr. BouSamra explained this fund is set up to invest in direct secondary opportunities. The fund was launched due to the firm seeing increased secondary opportunities.</w:t>
      </w:r>
    </w:p>
    <w:p w14:paraId="0B815765" w14:textId="77777777" w:rsidR="007B0C38" w:rsidRDefault="007B0C38" w:rsidP="007B0C38">
      <w:pPr>
        <w:autoSpaceDE w:val="0"/>
        <w:autoSpaceDN w:val="0"/>
        <w:adjustRightInd w:val="0"/>
        <w:ind w:left="720"/>
        <w:rPr>
          <w:bCs/>
          <w:szCs w:val="22"/>
        </w:rPr>
      </w:pPr>
    </w:p>
    <w:p w14:paraId="54C9A039" w14:textId="08D5C208" w:rsidR="007B0C38" w:rsidRDefault="007B0C38" w:rsidP="007B0C38">
      <w:pPr>
        <w:autoSpaceDE w:val="0"/>
        <w:autoSpaceDN w:val="0"/>
        <w:adjustRightInd w:val="0"/>
        <w:ind w:left="720"/>
        <w:rPr>
          <w:b/>
          <w:szCs w:val="22"/>
        </w:rPr>
      </w:pPr>
      <w:r>
        <w:rPr>
          <w:bCs/>
          <w:szCs w:val="22"/>
        </w:rPr>
        <w:t>Ms. Bradley asked about personnel changes within the Axiom firm and Mr. BouSamra explained there have been a lot of new hires on the mid-level because it is a growing firm, but many of the main associates are the same.</w:t>
      </w:r>
    </w:p>
    <w:p w14:paraId="0896477C" w14:textId="77777777" w:rsidR="007B0C38" w:rsidRDefault="007B0C38" w:rsidP="007B0C38">
      <w:pPr>
        <w:autoSpaceDE w:val="0"/>
        <w:autoSpaceDN w:val="0"/>
        <w:adjustRightInd w:val="0"/>
        <w:ind w:left="720"/>
        <w:rPr>
          <w:b/>
          <w:szCs w:val="22"/>
        </w:rPr>
      </w:pPr>
    </w:p>
    <w:p w14:paraId="5614988D" w14:textId="62A9FA16" w:rsidR="007B0C38" w:rsidRDefault="007B0C38" w:rsidP="007B0C38">
      <w:pPr>
        <w:autoSpaceDE w:val="0"/>
        <w:autoSpaceDN w:val="0"/>
        <w:adjustRightInd w:val="0"/>
        <w:ind w:left="720"/>
        <w:rPr>
          <w:bCs/>
          <w:szCs w:val="22"/>
        </w:rPr>
      </w:pPr>
      <w:r w:rsidRPr="00DF04AE">
        <w:rPr>
          <w:b/>
          <w:szCs w:val="22"/>
        </w:rPr>
        <w:t>Recommendation</w:t>
      </w:r>
      <w:r>
        <w:rPr>
          <w:bCs/>
          <w:szCs w:val="22"/>
        </w:rPr>
        <w:t xml:space="preserve"> – Invest a total of $20 million total between the two Axiom Asia funds, Co-Investment Fund II, </w:t>
      </w:r>
      <w:r w:rsidR="0066578F">
        <w:rPr>
          <w:bCs/>
          <w:szCs w:val="22"/>
        </w:rPr>
        <w:t>L.P.,</w:t>
      </w:r>
      <w:r>
        <w:rPr>
          <w:bCs/>
          <w:szCs w:val="22"/>
        </w:rPr>
        <w:t xml:space="preserve"> and Axiom Asia Opportunity Fund.</w:t>
      </w:r>
    </w:p>
    <w:p w14:paraId="284ECA4A" w14:textId="77777777" w:rsidR="00AF4100" w:rsidRDefault="00AF4100" w:rsidP="00AF4100">
      <w:pPr>
        <w:autoSpaceDE w:val="0"/>
        <w:autoSpaceDN w:val="0"/>
        <w:adjustRightInd w:val="0"/>
        <w:ind w:left="720"/>
        <w:rPr>
          <w:szCs w:val="22"/>
        </w:rPr>
      </w:pPr>
    </w:p>
    <w:p w14:paraId="71B34ED3" w14:textId="72931C0A" w:rsidR="00AF4100" w:rsidRDefault="00AF4100" w:rsidP="00AF4100">
      <w:pPr>
        <w:autoSpaceDE w:val="0"/>
        <w:autoSpaceDN w:val="0"/>
        <w:adjustRightInd w:val="0"/>
        <w:ind w:left="720"/>
        <w:rPr>
          <w:szCs w:val="22"/>
        </w:rPr>
      </w:pPr>
      <w:r w:rsidRPr="00F36A21">
        <w:rPr>
          <w:b/>
          <w:bCs/>
          <w:szCs w:val="22"/>
        </w:rPr>
        <w:t>Motion</w:t>
      </w:r>
      <w:r>
        <w:rPr>
          <w:b/>
          <w:bCs/>
          <w:szCs w:val="22"/>
        </w:rPr>
        <w:t xml:space="preserve"> – </w:t>
      </w:r>
      <w:r w:rsidR="007B0C38">
        <w:rPr>
          <w:szCs w:val="22"/>
        </w:rPr>
        <w:t xml:space="preserve">Ms. Bailey made a motion to approve the recommendation as written; Ms. Bradley seconded the motion.  The motion passed unanimously.  </w:t>
      </w:r>
    </w:p>
    <w:p w14:paraId="10A79D3A" w14:textId="09477BA3" w:rsidR="007B0C38" w:rsidRDefault="007B0C38" w:rsidP="00AF4100">
      <w:pPr>
        <w:autoSpaceDE w:val="0"/>
        <w:autoSpaceDN w:val="0"/>
        <w:adjustRightInd w:val="0"/>
        <w:ind w:left="720"/>
        <w:rPr>
          <w:szCs w:val="22"/>
        </w:rPr>
      </w:pPr>
    </w:p>
    <w:p w14:paraId="13A93E30" w14:textId="134277D0" w:rsidR="00030A90" w:rsidRPr="00963CDE" w:rsidRDefault="007B0C38" w:rsidP="00963CDE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b/>
          <w:bCs/>
          <w:szCs w:val="22"/>
          <w:u w:val="single"/>
        </w:rPr>
      </w:pPr>
      <w:r w:rsidRPr="007B0C38">
        <w:rPr>
          <w:b/>
          <w:bCs/>
          <w:szCs w:val="22"/>
          <w:u w:val="single"/>
        </w:rPr>
        <w:t>Centerbridge Partners Real Estate Fund II, L.P.:</w:t>
      </w:r>
      <w:r>
        <w:rPr>
          <w:b/>
          <w:bCs/>
          <w:szCs w:val="22"/>
          <w:u w:val="single"/>
        </w:rPr>
        <w:t xml:space="preserve">  </w:t>
      </w:r>
      <w:r>
        <w:rPr>
          <w:szCs w:val="22"/>
        </w:rPr>
        <w:t>Mr. Stronkowsky explained this fund has a wide mandate to invest in loans and securities as well as direct assets.  The firm has a deep bench and experience in structuring many types of deals with varying degrees of complexity.  He explained this is a first-time investment for the Metro Pension Plan</w:t>
      </w:r>
      <w:r w:rsidR="00030A90">
        <w:rPr>
          <w:szCs w:val="22"/>
        </w:rPr>
        <w:t xml:space="preserve"> with Centerbridge Real Estate and the plan is invested in two Centerbridge Capital Partner funds on the PE/Opportunistic platform.</w:t>
      </w:r>
    </w:p>
    <w:p w14:paraId="77FB19BC" w14:textId="77777777" w:rsidR="00963CDE" w:rsidRPr="00963CDE" w:rsidRDefault="00963CDE" w:rsidP="00963CDE">
      <w:pPr>
        <w:pStyle w:val="ListParagraph"/>
        <w:autoSpaceDE w:val="0"/>
        <w:autoSpaceDN w:val="0"/>
        <w:adjustRightInd w:val="0"/>
        <w:ind w:left="1080"/>
        <w:rPr>
          <w:b/>
          <w:bCs/>
          <w:szCs w:val="22"/>
          <w:u w:val="single"/>
        </w:rPr>
      </w:pPr>
    </w:p>
    <w:p w14:paraId="22B6F6C0" w14:textId="5EC378B3" w:rsidR="00030A90" w:rsidRDefault="00030A90" w:rsidP="00030A90">
      <w:pPr>
        <w:autoSpaceDE w:val="0"/>
        <w:autoSpaceDN w:val="0"/>
        <w:adjustRightInd w:val="0"/>
        <w:ind w:left="720"/>
        <w:rPr>
          <w:bCs/>
          <w:szCs w:val="22"/>
        </w:rPr>
      </w:pPr>
      <w:r w:rsidRPr="00B50F2D">
        <w:rPr>
          <w:b/>
          <w:szCs w:val="22"/>
        </w:rPr>
        <w:t>Recommendation</w:t>
      </w:r>
      <w:r>
        <w:rPr>
          <w:bCs/>
          <w:szCs w:val="22"/>
        </w:rPr>
        <w:t xml:space="preserve"> – Approve up to $30 million to invest in Centerbridge Partners Real Estate fund II, L.P.</w:t>
      </w:r>
    </w:p>
    <w:p w14:paraId="0BFA4CE3" w14:textId="1C645C7C" w:rsidR="00030A90" w:rsidRDefault="00030A90" w:rsidP="00030A90">
      <w:pPr>
        <w:autoSpaceDE w:val="0"/>
        <w:autoSpaceDN w:val="0"/>
        <w:adjustRightInd w:val="0"/>
        <w:ind w:left="720"/>
        <w:rPr>
          <w:bCs/>
          <w:szCs w:val="22"/>
        </w:rPr>
      </w:pPr>
    </w:p>
    <w:p w14:paraId="513CC77B" w14:textId="052B96A6" w:rsidR="00030A90" w:rsidRDefault="00030A90" w:rsidP="00030A90">
      <w:pPr>
        <w:autoSpaceDE w:val="0"/>
        <w:autoSpaceDN w:val="0"/>
        <w:adjustRightInd w:val="0"/>
        <w:ind w:left="720"/>
        <w:rPr>
          <w:bCs/>
          <w:szCs w:val="22"/>
        </w:rPr>
      </w:pPr>
      <w:r w:rsidRPr="00030A90">
        <w:rPr>
          <w:b/>
          <w:szCs w:val="22"/>
        </w:rPr>
        <w:t>Motion</w:t>
      </w:r>
      <w:r>
        <w:rPr>
          <w:bCs/>
          <w:szCs w:val="22"/>
        </w:rPr>
        <w:t xml:space="preserve"> – Ms. </w:t>
      </w:r>
      <w:r w:rsidR="0066578F">
        <w:rPr>
          <w:bCs/>
          <w:szCs w:val="22"/>
        </w:rPr>
        <w:t xml:space="preserve">Bradley made a motion to accept the recommendation as written.  Ms. Bailey seconded the motion.  The motion passed unanimously.  </w:t>
      </w:r>
    </w:p>
    <w:p w14:paraId="743F227D" w14:textId="351AFA7D" w:rsidR="0066578F" w:rsidRDefault="0066578F" w:rsidP="00030A90">
      <w:pPr>
        <w:autoSpaceDE w:val="0"/>
        <w:autoSpaceDN w:val="0"/>
        <w:adjustRightInd w:val="0"/>
        <w:ind w:left="720"/>
        <w:rPr>
          <w:bCs/>
          <w:szCs w:val="22"/>
        </w:rPr>
      </w:pPr>
    </w:p>
    <w:p w14:paraId="67086899" w14:textId="6D78E07A" w:rsidR="0066578F" w:rsidRDefault="0066578F" w:rsidP="0066578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b/>
          <w:szCs w:val="22"/>
        </w:rPr>
      </w:pPr>
      <w:r w:rsidRPr="0066578F">
        <w:rPr>
          <w:b/>
          <w:szCs w:val="22"/>
        </w:rPr>
        <w:t xml:space="preserve">457 MetroMax Target Date Manager Search: </w:t>
      </w:r>
    </w:p>
    <w:p w14:paraId="5148A107" w14:textId="77777777" w:rsidR="00256D13" w:rsidRPr="0066578F" w:rsidRDefault="00256D13" w:rsidP="00256D13">
      <w:pPr>
        <w:pStyle w:val="ListParagraph"/>
        <w:autoSpaceDE w:val="0"/>
        <w:autoSpaceDN w:val="0"/>
        <w:adjustRightInd w:val="0"/>
        <w:ind w:left="360"/>
        <w:rPr>
          <w:b/>
          <w:szCs w:val="22"/>
        </w:rPr>
      </w:pPr>
    </w:p>
    <w:p w14:paraId="4CD86DA7" w14:textId="0D515E0E" w:rsidR="0066578F" w:rsidRPr="00963CDE" w:rsidRDefault="0066578F" w:rsidP="0066578F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b/>
          <w:szCs w:val="22"/>
          <w:u w:val="single"/>
        </w:rPr>
      </w:pPr>
      <w:r w:rsidRPr="0066578F">
        <w:rPr>
          <w:b/>
          <w:szCs w:val="22"/>
          <w:u w:val="single"/>
        </w:rPr>
        <w:t>Vang</w:t>
      </w:r>
      <w:r>
        <w:rPr>
          <w:b/>
          <w:szCs w:val="22"/>
          <w:u w:val="single"/>
        </w:rPr>
        <w:t>ua</w:t>
      </w:r>
      <w:r w:rsidRPr="0066578F">
        <w:rPr>
          <w:b/>
          <w:szCs w:val="22"/>
          <w:u w:val="single"/>
        </w:rPr>
        <w:t>rd Target Retirement Funds:</w:t>
      </w:r>
      <w:r>
        <w:rPr>
          <w:bCs/>
          <w:szCs w:val="22"/>
        </w:rPr>
        <w:t xml:space="preserve">  Mr. Beaton </w:t>
      </w:r>
      <w:r w:rsidR="00256D13">
        <w:rPr>
          <w:bCs/>
          <w:szCs w:val="22"/>
        </w:rPr>
        <w:t xml:space="preserve">explained </w:t>
      </w:r>
      <w:r w:rsidR="00A2480B">
        <w:rPr>
          <w:bCs/>
          <w:szCs w:val="22"/>
        </w:rPr>
        <w:t>the</w:t>
      </w:r>
      <w:r w:rsidRPr="0066578F">
        <w:rPr>
          <w:bCs/>
          <w:szCs w:val="22"/>
        </w:rPr>
        <w:t xml:space="preserve"> Vanguard funds provide a low fee glide path with a straightforward approach</w:t>
      </w:r>
      <w:r>
        <w:rPr>
          <w:bCs/>
          <w:szCs w:val="22"/>
        </w:rPr>
        <w:t xml:space="preserve">, </w:t>
      </w:r>
      <w:r w:rsidRPr="0066578F">
        <w:rPr>
          <w:bCs/>
          <w:szCs w:val="22"/>
        </w:rPr>
        <w:t>NEPC has the funds on their target list and highlight</w:t>
      </w:r>
      <w:r w:rsidR="00A2480B">
        <w:rPr>
          <w:bCs/>
          <w:szCs w:val="22"/>
        </w:rPr>
        <w:t xml:space="preserve">ed </w:t>
      </w:r>
      <w:r w:rsidRPr="0066578F">
        <w:rPr>
          <w:bCs/>
          <w:szCs w:val="22"/>
        </w:rPr>
        <w:t xml:space="preserve">their defensive approach. </w:t>
      </w:r>
      <w:r>
        <w:rPr>
          <w:bCs/>
          <w:szCs w:val="22"/>
        </w:rPr>
        <w:t xml:space="preserve">He also explained </w:t>
      </w:r>
      <w:r w:rsidRPr="0066578F">
        <w:rPr>
          <w:bCs/>
          <w:szCs w:val="22"/>
        </w:rPr>
        <w:t>Vanguard is known as a low-cost quality provider and execute the strategy at cost that is 9bps vs the current provider charging 14bps. This recommendation</w:t>
      </w:r>
      <w:r w:rsidR="001E660E">
        <w:rPr>
          <w:bCs/>
          <w:szCs w:val="22"/>
        </w:rPr>
        <w:t>,</w:t>
      </w:r>
      <w:r w:rsidRPr="0066578F">
        <w:rPr>
          <w:bCs/>
          <w:szCs w:val="22"/>
        </w:rPr>
        <w:t xml:space="preserve"> if approved</w:t>
      </w:r>
      <w:r w:rsidR="001E660E">
        <w:rPr>
          <w:bCs/>
          <w:szCs w:val="22"/>
        </w:rPr>
        <w:t>,</w:t>
      </w:r>
      <w:r w:rsidRPr="0066578F">
        <w:rPr>
          <w:bCs/>
          <w:szCs w:val="22"/>
        </w:rPr>
        <w:t xml:space="preserve"> will go to the Benefit Board for consideration.</w:t>
      </w:r>
      <w:r w:rsidR="00963CDE">
        <w:rPr>
          <w:bCs/>
          <w:szCs w:val="22"/>
        </w:rPr>
        <w:t xml:space="preserve">  Mr. Curtis asked about the other options presented for the target date manager search and Mr. Beaton discussed NEPC’s process</w:t>
      </w:r>
      <w:r w:rsidR="00CE1015">
        <w:rPr>
          <w:bCs/>
          <w:szCs w:val="22"/>
        </w:rPr>
        <w:t xml:space="preserve"> and considerations of the other options.  </w:t>
      </w:r>
    </w:p>
    <w:p w14:paraId="247DF4AD" w14:textId="77777777" w:rsidR="00963CDE" w:rsidRPr="0066578F" w:rsidRDefault="00963CDE" w:rsidP="00963CDE">
      <w:pPr>
        <w:pStyle w:val="ListParagraph"/>
        <w:autoSpaceDE w:val="0"/>
        <w:autoSpaceDN w:val="0"/>
        <w:adjustRightInd w:val="0"/>
        <w:ind w:left="1080"/>
        <w:rPr>
          <w:b/>
          <w:szCs w:val="22"/>
          <w:u w:val="single"/>
        </w:rPr>
      </w:pPr>
    </w:p>
    <w:p w14:paraId="2863D181" w14:textId="478E3D79" w:rsidR="0066578F" w:rsidRDefault="0066578F" w:rsidP="0066578F">
      <w:pPr>
        <w:autoSpaceDE w:val="0"/>
        <w:autoSpaceDN w:val="0"/>
        <w:adjustRightInd w:val="0"/>
        <w:ind w:left="720"/>
        <w:rPr>
          <w:bCs/>
          <w:szCs w:val="22"/>
        </w:rPr>
      </w:pPr>
      <w:r w:rsidRPr="0066578F">
        <w:rPr>
          <w:b/>
          <w:szCs w:val="22"/>
        </w:rPr>
        <w:t>Recommendation –</w:t>
      </w:r>
      <w:r w:rsidRPr="0066578F">
        <w:rPr>
          <w:b/>
          <w:szCs w:val="22"/>
          <w:u w:val="single"/>
        </w:rPr>
        <w:t xml:space="preserve"> </w:t>
      </w:r>
      <w:r w:rsidRPr="0066578F">
        <w:rPr>
          <w:bCs/>
          <w:szCs w:val="22"/>
        </w:rPr>
        <w:t>Recommend to the Benefit Board the use of Vanguard Target Retirement funds in place of the current provider.</w:t>
      </w:r>
    </w:p>
    <w:p w14:paraId="36D927B8" w14:textId="43D592BD" w:rsidR="0066578F" w:rsidRDefault="0066578F" w:rsidP="0066578F">
      <w:pPr>
        <w:autoSpaceDE w:val="0"/>
        <w:autoSpaceDN w:val="0"/>
        <w:adjustRightInd w:val="0"/>
        <w:ind w:left="720"/>
        <w:rPr>
          <w:b/>
          <w:szCs w:val="22"/>
          <w:u w:val="single"/>
        </w:rPr>
      </w:pPr>
    </w:p>
    <w:p w14:paraId="736B2EC7" w14:textId="2201F40F" w:rsidR="0066578F" w:rsidRPr="0066578F" w:rsidRDefault="0066578F" w:rsidP="0066578F">
      <w:pPr>
        <w:autoSpaceDE w:val="0"/>
        <w:autoSpaceDN w:val="0"/>
        <w:adjustRightInd w:val="0"/>
        <w:ind w:left="720"/>
        <w:rPr>
          <w:bCs/>
          <w:szCs w:val="22"/>
        </w:rPr>
      </w:pPr>
      <w:r w:rsidRPr="0066578F">
        <w:rPr>
          <w:b/>
          <w:szCs w:val="22"/>
        </w:rPr>
        <w:t>Motion</w:t>
      </w:r>
      <w:r>
        <w:rPr>
          <w:bCs/>
          <w:szCs w:val="22"/>
        </w:rPr>
        <w:t xml:space="preserve"> – Ms. </w:t>
      </w:r>
      <w:r w:rsidR="00963CDE">
        <w:rPr>
          <w:bCs/>
          <w:szCs w:val="22"/>
        </w:rPr>
        <w:t>Bailey made a motion to approve the recommendation as written</w:t>
      </w:r>
      <w:r w:rsidR="006118EB">
        <w:rPr>
          <w:bCs/>
          <w:szCs w:val="22"/>
        </w:rPr>
        <w:t>.  Ms. Bradley seconded the motion.  The motion passed unanimously.</w:t>
      </w:r>
    </w:p>
    <w:p w14:paraId="486EAA42" w14:textId="33AEA8A0" w:rsidR="00AF4100" w:rsidRPr="007B0C38" w:rsidRDefault="00AF4100" w:rsidP="007B0C38">
      <w:pPr>
        <w:autoSpaceDE w:val="0"/>
        <w:autoSpaceDN w:val="0"/>
        <w:adjustRightInd w:val="0"/>
        <w:rPr>
          <w:szCs w:val="22"/>
        </w:rPr>
      </w:pPr>
    </w:p>
    <w:p w14:paraId="31D0A24B" w14:textId="421ECFDF" w:rsidR="006F509D" w:rsidRDefault="006118EB" w:rsidP="006F509D">
      <w:pPr>
        <w:pStyle w:val="ListParagraph"/>
        <w:numPr>
          <w:ilvl w:val="0"/>
          <w:numId w:val="15"/>
        </w:numPr>
      </w:pPr>
      <w:r w:rsidRPr="0095313C">
        <w:rPr>
          <w:b/>
          <w:szCs w:val="22"/>
        </w:rPr>
        <w:t>1</w:t>
      </w:r>
      <w:r w:rsidRPr="0095313C">
        <w:rPr>
          <w:b/>
          <w:szCs w:val="22"/>
          <w:vertAlign w:val="superscript"/>
        </w:rPr>
        <w:t>st</w:t>
      </w:r>
      <w:r w:rsidRPr="0095313C">
        <w:rPr>
          <w:b/>
          <w:szCs w:val="22"/>
        </w:rPr>
        <w:t xml:space="preserve"> </w:t>
      </w:r>
      <w:r w:rsidR="00F66292" w:rsidRPr="0095313C">
        <w:rPr>
          <w:b/>
          <w:szCs w:val="22"/>
        </w:rPr>
        <w:t>Quarter 20</w:t>
      </w:r>
      <w:r w:rsidR="00ED7861" w:rsidRPr="0095313C">
        <w:rPr>
          <w:b/>
          <w:szCs w:val="22"/>
        </w:rPr>
        <w:t>2</w:t>
      </w:r>
      <w:r w:rsidRPr="0095313C">
        <w:rPr>
          <w:b/>
          <w:szCs w:val="22"/>
        </w:rPr>
        <w:t>1</w:t>
      </w:r>
      <w:r w:rsidR="00F66292" w:rsidRPr="0095313C">
        <w:rPr>
          <w:b/>
          <w:szCs w:val="22"/>
        </w:rPr>
        <w:t xml:space="preserve"> Pension Performance</w:t>
      </w:r>
      <w:r w:rsidR="00F66292" w:rsidRPr="006F509D">
        <w:rPr>
          <w:b/>
          <w:szCs w:val="22"/>
        </w:rPr>
        <w:t>:</w:t>
      </w:r>
      <w:r w:rsidR="00F66292" w:rsidRPr="006F509D">
        <w:rPr>
          <w:szCs w:val="22"/>
        </w:rPr>
        <w:t xml:space="preserve"> </w:t>
      </w:r>
      <w:r w:rsidR="006F509D">
        <w:t xml:space="preserve">Mr. Stronkowsky discussed key market </w:t>
      </w:r>
      <w:r w:rsidR="00A2480B">
        <w:t xml:space="preserve">highlights </w:t>
      </w:r>
      <w:r w:rsidR="006F509D">
        <w:t xml:space="preserve">including positive momentum for equity markets due to vaccinations and relaxing COVID restrictions. </w:t>
      </w:r>
      <w:r w:rsidR="0095313C">
        <w:t xml:space="preserve"> Metro’s assets totaled over $4 Billion, an increase of approximately $152 Million during the 1</w:t>
      </w:r>
      <w:r w:rsidR="0095313C" w:rsidRPr="0095313C">
        <w:rPr>
          <w:vertAlign w:val="superscript"/>
        </w:rPr>
        <w:t>st</w:t>
      </w:r>
      <w:r w:rsidR="0095313C">
        <w:t xml:space="preserve"> quarter. </w:t>
      </w:r>
    </w:p>
    <w:p w14:paraId="75B4ABEC" w14:textId="77777777" w:rsidR="0095313C" w:rsidRDefault="0095313C" w:rsidP="0095313C"/>
    <w:p w14:paraId="2987EC3C" w14:textId="5AF0EEF0" w:rsidR="00F66292" w:rsidRPr="00F66292" w:rsidRDefault="00F66292" w:rsidP="006F509D">
      <w:pPr>
        <w:ind w:left="360"/>
        <w:rPr>
          <w:szCs w:val="22"/>
        </w:rPr>
      </w:pPr>
      <w:r w:rsidRPr="00F66292">
        <w:rPr>
          <w:szCs w:val="22"/>
        </w:rPr>
        <w:lastRenderedPageBreak/>
        <w:t xml:space="preserve">Mr. Stronkowsky reviewed the Metro Plan’s performance.  He discussed the total fund returned </w:t>
      </w:r>
      <w:r w:rsidR="006F509D">
        <w:rPr>
          <w:szCs w:val="22"/>
        </w:rPr>
        <w:t>5.21</w:t>
      </w:r>
      <w:r w:rsidRPr="00F66292">
        <w:rPr>
          <w:szCs w:val="22"/>
        </w:rPr>
        <w:t xml:space="preserve">% for the </w:t>
      </w:r>
      <w:r w:rsidR="006F509D" w:rsidRPr="00F66292">
        <w:rPr>
          <w:szCs w:val="22"/>
        </w:rPr>
        <w:t>quarter,</w:t>
      </w:r>
      <w:r w:rsidRPr="00F66292">
        <w:rPr>
          <w:szCs w:val="22"/>
        </w:rPr>
        <w:t xml:space="preserve"> </w:t>
      </w:r>
      <w:r w:rsidR="006F509D">
        <w:rPr>
          <w:szCs w:val="22"/>
        </w:rPr>
        <w:t>out</w:t>
      </w:r>
      <w:r w:rsidRPr="00F66292">
        <w:rPr>
          <w:szCs w:val="22"/>
        </w:rPr>
        <w:t xml:space="preserve">performing the policy index by </w:t>
      </w:r>
      <w:r w:rsidR="006F509D">
        <w:rPr>
          <w:szCs w:val="22"/>
        </w:rPr>
        <w:t>1.99</w:t>
      </w:r>
      <w:r w:rsidRPr="00F66292">
        <w:rPr>
          <w:szCs w:val="22"/>
        </w:rPr>
        <w:t xml:space="preserve">%.  The total fund returned </w:t>
      </w:r>
      <w:r w:rsidR="006F509D">
        <w:rPr>
          <w:szCs w:val="22"/>
        </w:rPr>
        <w:t>27.24</w:t>
      </w:r>
      <w:r w:rsidRPr="00F66292">
        <w:rPr>
          <w:szCs w:val="22"/>
        </w:rPr>
        <w:t xml:space="preserve">% </w:t>
      </w:r>
      <w:r w:rsidR="00B97DCC">
        <w:rPr>
          <w:szCs w:val="22"/>
        </w:rPr>
        <w:t xml:space="preserve">for </w:t>
      </w:r>
      <w:r w:rsidR="0063472D">
        <w:rPr>
          <w:szCs w:val="22"/>
        </w:rPr>
        <w:t xml:space="preserve">trailing </w:t>
      </w:r>
      <w:r w:rsidR="00B97DCC">
        <w:rPr>
          <w:szCs w:val="22"/>
        </w:rPr>
        <w:t>1-</w:t>
      </w:r>
      <w:r w:rsidR="0095313C">
        <w:rPr>
          <w:szCs w:val="22"/>
        </w:rPr>
        <w:t>year</w:t>
      </w:r>
      <w:r w:rsidR="0095313C" w:rsidRPr="00F66292">
        <w:rPr>
          <w:szCs w:val="22"/>
        </w:rPr>
        <w:t>,</w:t>
      </w:r>
      <w:r w:rsidRPr="00F66292">
        <w:rPr>
          <w:szCs w:val="22"/>
        </w:rPr>
        <w:t xml:space="preserve"> </w:t>
      </w:r>
      <w:r w:rsidR="006F509D">
        <w:rPr>
          <w:szCs w:val="22"/>
        </w:rPr>
        <w:t>under</w:t>
      </w:r>
      <w:r w:rsidRPr="00F66292">
        <w:rPr>
          <w:szCs w:val="22"/>
        </w:rPr>
        <w:t xml:space="preserve">performing the policy index by </w:t>
      </w:r>
      <w:r w:rsidR="006F509D">
        <w:rPr>
          <w:szCs w:val="22"/>
        </w:rPr>
        <w:t>7.08</w:t>
      </w:r>
      <w:r w:rsidRPr="00F66292">
        <w:rPr>
          <w:szCs w:val="22"/>
        </w:rPr>
        <w:t xml:space="preserve">%.  </w:t>
      </w:r>
    </w:p>
    <w:p w14:paraId="5E7E8AF1" w14:textId="77777777" w:rsidR="00F66292" w:rsidRPr="00F66292" w:rsidRDefault="00F66292" w:rsidP="00F66292">
      <w:pPr>
        <w:rPr>
          <w:szCs w:val="22"/>
        </w:rPr>
      </w:pPr>
    </w:p>
    <w:p w14:paraId="4BC2DCE3" w14:textId="2C341734" w:rsidR="00F66292" w:rsidRDefault="00F66292" w:rsidP="00B97DCC">
      <w:pPr>
        <w:ind w:left="360"/>
        <w:rPr>
          <w:szCs w:val="22"/>
        </w:rPr>
      </w:pPr>
      <w:r w:rsidRPr="00F66292">
        <w:rPr>
          <w:szCs w:val="22"/>
        </w:rPr>
        <w:t xml:space="preserve">Mr. Stronkowsky &amp; Mr. BouSamra explained </w:t>
      </w:r>
      <w:r w:rsidR="001E660E">
        <w:rPr>
          <w:szCs w:val="22"/>
        </w:rPr>
        <w:t>that for the March 31</w:t>
      </w:r>
      <w:r w:rsidR="001E660E" w:rsidRPr="00CD18E9">
        <w:rPr>
          <w:szCs w:val="22"/>
          <w:vertAlign w:val="superscript"/>
        </w:rPr>
        <w:t>st</w:t>
      </w:r>
      <w:r w:rsidR="001E660E">
        <w:rPr>
          <w:szCs w:val="22"/>
        </w:rPr>
        <w:t xml:space="preserve">, 2021 quarter, </w:t>
      </w:r>
      <w:r w:rsidRPr="00F66292">
        <w:rPr>
          <w:szCs w:val="22"/>
        </w:rPr>
        <w:t xml:space="preserve">the plan ranks </w:t>
      </w:r>
      <w:r w:rsidR="001E660E">
        <w:rPr>
          <w:szCs w:val="22"/>
        </w:rPr>
        <w:t>2nd</w:t>
      </w:r>
      <w:r w:rsidRPr="00F66292">
        <w:rPr>
          <w:szCs w:val="22"/>
        </w:rPr>
        <w:t>in returns compared to</w:t>
      </w:r>
      <w:r w:rsidR="00341607">
        <w:rPr>
          <w:szCs w:val="22"/>
        </w:rPr>
        <w:t xml:space="preserve"> </w:t>
      </w:r>
      <w:r w:rsidRPr="00F66292">
        <w:rPr>
          <w:szCs w:val="22"/>
        </w:rPr>
        <w:t xml:space="preserve"> other public plans.  Mr. Stronkowsky </w:t>
      </w:r>
      <w:r w:rsidR="00BC6DD1">
        <w:rPr>
          <w:szCs w:val="22"/>
        </w:rPr>
        <w:t>went over the plan’s Sharp</w:t>
      </w:r>
      <w:r w:rsidR="001E660E">
        <w:rPr>
          <w:szCs w:val="22"/>
        </w:rPr>
        <w:t>e</w:t>
      </w:r>
      <w:r w:rsidR="00BC6DD1">
        <w:rPr>
          <w:szCs w:val="22"/>
        </w:rPr>
        <w:t xml:space="preserve"> Rati</w:t>
      </w:r>
      <w:r w:rsidR="000118B0">
        <w:rPr>
          <w:szCs w:val="22"/>
        </w:rPr>
        <w:t>o</w:t>
      </w:r>
      <w:r w:rsidR="00BC6DD1">
        <w:rPr>
          <w:szCs w:val="22"/>
        </w:rPr>
        <w:t xml:space="preserve"> </w:t>
      </w:r>
      <w:r w:rsidR="001E660E">
        <w:rPr>
          <w:szCs w:val="22"/>
        </w:rPr>
        <w:t>(as of March 31, 2021, the Plan ranks 1</w:t>
      </w:r>
      <w:r w:rsidR="001E660E" w:rsidRPr="00CD18E9">
        <w:rPr>
          <w:szCs w:val="22"/>
          <w:vertAlign w:val="superscript"/>
        </w:rPr>
        <w:t>st</w:t>
      </w:r>
      <w:r w:rsidR="001E660E">
        <w:rPr>
          <w:szCs w:val="22"/>
        </w:rPr>
        <w:t xml:space="preserve"> for the trailing 3 and 5 year periods) </w:t>
      </w:r>
      <w:r w:rsidR="00BC6DD1">
        <w:rPr>
          <w:szCs w:val="22"/>
        </w:rPr>
        <w:t xml:space="preserve">and </w:t>
      </w:r>
      <w:r w:rsidRPr="00F66292">
        <w:rPr>
          <w:szCs w:val="22"/>
        </w:rPr>
        <w:t xml:space="preserve">explained </w:t>
      </w:r>
      <w:r w:rsidR="00BC6DD1">
        <w:rPr>
          <w:szCs w:val="22"/>
        </w:rPr>
        <w:t xml:space="preserve">that the plan is </w:t>
      </w:r>
      <w:r w:rsidRPr="00F66292">
        <w:rPr>
          <w:szCs w:val="22"/>
        </w:rPr>
        <w:t xml:space="preserve">getting more return for less risk compared to other public plans within the </w:t>
      </w:r>
      <w:r w:rsidR="00A2480B">
        <w:rPr>
          <w:szCs w:val="22"/>
        </w:rPr>
        <w:t>I</w:t>
      </w:r>
      <w:r w:rsidRPr="00F66292">
        <w:rPr>
          <w:szCs w:val="22"/>
        </w:rPr>
        <w:t xml:space="preserve">nvestor </w:t>
      </w:r>
      <w:r w:rsidR="00A2480B">
        <w:rPr>
          <w:szCs w:val="22"/>
        </w:rPr>
        <w:t>F</w:t>
      </w:r>
      <w:r w:rsidRPr="00F66292">
        <w:rPr>
          <w:szCs w:val="22"/>
        </w:rPr>
        <w:t>orce universe</w:t>
      </w:r>
      <w:r w:rsidR="00B97DCC">
        <w:rPr>
          <w:szCs w:val="22"/>
        </w:rPr>
        <w:t>.</w:t>
      </w:r>
    </w:p>
    <w:p w14:paraId="3D03C966" w14:textId="77777777" w:rsidR="00C43FB7" w:rsidRDefault="00C43FB7" w:rsidP="006118EB">
      <w:pPr>
        <w:tabs>
          <w:tab w:val="left" w:pos="-840"/>
        </w:tabs>
        <w:jc w:val="both"/>
        <w:rPr>
          <w:b/>
        </w:rPr>
      </w:pPr>
    </w:p>
    <w:p w14:paraId="623A538D" w14:textId="16242177" w:rsidR="00646B1B" w:rsidRPr="006118EB" w:rsidRDefault="006118EB" w:rsidP="006118EB">
      <w:pPr>
        <w:numPr>
          <w:ilvl w:val="0"/>
          <w:numId w:val="1"/>
        </w:numPr>
        <w:tabs>
          <w:tab w:val="left" w:pos="-840"/>
        </w:tabs>
        <w:jc w:val="both"/>
        <w:rPr>
          <w:b/>
        </w:rPr>
      </w:pPr>
      <w:r>
        <w:rPr>
          <w:b/>
        </w:rPr>
        <w:t>1</w:t>
      </w:r>
      <w:r w:rsidRPr="006118EB">
        <w:rPr>
          <w:b/>
          <w:vertAlign w:val="superscript"/>
        </w:rPr>
        <w:t>st</w:t>
      </w:r>
      <w:r w:rsidR="005B512C" w:rsidRPr="00D07269">
        <w:rPr>
          <w:b/>
        </w:rPr>
        <w:t xml:space="preserve"> </w:t>
      </w:r>
      <w:r w:rsidR="00982C3A" w:rsidRPr="00D07269">
        <w:rPr>
          <w:b/>
        </w:rPr>
        <w:t>Quarter 20</w:t>
      </w:r>
      <w:r w:rsidR="005B512C" w:rsidRPr="00D07269">
        <w:rPr>
          <w:b/>
        </w:rPr>
        <w:t>2</w:t>
      </w:r>
      <w:r>
        <w:rPr>
          <w:b/>
        </w:rPr>
        <w:t>1</w:t>
      </w:r>
      <w:r w:rsidR="00982C3A" w:rsidRPr="00D07269">
        <w:rPr>
          <w:b/>
        </w:rPr>
        <w:t xml:space="preserve"> MetroMax review</w:t>
      </w:r>
      <w:r w:rsidR="00CB4BCF" w:rsidRPr="00D07269">
        <w:rPr>
          <w:b/>
        </w:rPr>
        <w:t>:</w:t>
      </w:r>
      <w:r w:rsidR="00CB4BCF" w:rsidRPr="00E02182">
        <w:rPr>
          <w:b/>
        </w:rPr>
        <w:t xml:space="preserve">  </w:t>
      </w:r>
      <w:r w:rsidR="00EC261E" w:rsidRPr="00E02182">
        <w:rPr>
          <w:bCs/>
        </w:rPr>
        <w:t xml:space="preserve">Mr. Beaton reviewed the executive summary which highlights </w:t>
      </w:r>
      <w:r w:rsidR="00584CF4" w:rsidRPr="00E02182">
        <w:rPr>
          <w:bCs/>
        </w:rPr>
        <w:t xml:space="preserve">fund </w:t>
      </w:r>
      <w:r w:rsidR="00EC261E" w:rsidRPr="00E02182">
        <w:rPr>
          <w:bCs/>
        </w:rPr>
        <w:t xml:space="preserve">performance including the range of core fund returns </w:t>
      </w:r>
      <w:r w:rsidR="003C70B2" w:rsidRPr="00E02182">
        <w:rPr>
          <w:bCs/>
        </w:rPr>
        <w:t>from</w:t>
      </w:r>
      <w:r w:rsidR="00EC261E" w:rsidRPr="00E02182">
        <w:rPr>
          <w:bCs/>
        </w:rPr>
        <w:t xml:space="preserve"> </w:t>
      </w:r>
      <w:r w:rsidR="0095313C">
        <w:rPr>
          <w:bCs/>
        </w:rPr>
        <w:t>-3.1</w:t>
      </w:r>
      <w:r w:rsidR="00EC261E" w:rsidRPr="00E02182">
        <w:rPr>
          <w:bCs/>
        </w:rPr>
        <w:t>% to</w:t>
      </w:r>
      <w:r w:rsidR="00501CBA">
        <w:rPr>
          <w:bCs/>
        </w:rPr>
        <w:t xml:space="preserve"> </w:t>
      </w:r>
      <w:r w:rsidR="0095313C">
        <w:rPr>
          <w:bCs/>
        </w:rPr>
        <w:t>15.9</w:t>
      </w:r>
      <w:r w:rsidR="00EC261E" w:rsidRPr="00E02182">
        <w:rPr>
          <w:bCs/>
        </w:rPr>
        <w:t xml:space="preserve">% for the quarter.  </w:t>
      </w:r>
      <w:r w:rsidR="00D07269">
        <w:rPr>
          <w:bCs/>
        </w:rPr>
        <w:t xml:space="preserve">Mr. Beaton went on to discuss </w:t>
      </w:r>
      <w:r w:rsidR="0095313C">
        <w:rPr>
          <w:bCs/>
        </w:rPr>
        <w:t>moving from Wells Fargo Target Date Fund to the Vanguard Target Date Fund.</w:t>
      </w:r>
    </w:p>
    <w:p w14:paraId="2814739E" w14:textId="77777777" w:rsidR="00646B1B" w:rsidRPr="006118EB" w:rsidRDefault="00646B1B" w:rsidP="006118EB">
      <w:pPr>
        <w:tabs>
          <w:tab w:val="left" w:pos="-840"/>
        </w:tabs>
        <w:jc w:val="both"/>
        <w:rPr>
          <w:b/>
        </w:rPr>
      </w:pPr>
    </w:p>
    <w:p w14:paraId="24E46B31" w14:textId="0990C90D" w:rsidR="00B35A02" w:rsidRPr="00D07269" w:rsidRDefault="006118EB" w:rsidP="00D07269">
      <w:pPr>
        <w:pStyle w:val="ListParagraph"/>
        <w:numPr>
          <w:ilvl w:val="0"/>
          <w:numId w:val="1"/>
        </w:numPr>
        <w:tabs>
          <w:tab w:val="left" w:pos="-840"/>
        </w:tabs>
        <w:jc w:val="both"/>
        <w:rPr>
          <w:szCs w:val="22"/>
        </w:rPr>
      </w:pPr>
      <w:r>
        <w:rPr>
          <w:b/>
        </w:rPr>
        <w:t>1</w:t>
      </w:r>
      <w:r w:rsidRPr="006118EB">
        <w:rPr>
          <w:b/>
          <w:vertAlign w:val="superscript"/>
        </w:rPr>
        <w:t>st</w:t>
      </w:r>
      <w:r>
        <w:rPr>
          <w:b/>
        </w:rPr>
        <w:t xml:space="preserve"> </w:t>
      </w:r>
      <w:r w:rsidR="000B20B9" w:rsidRPr="00D07269">
        <w:rPr>
          <w:b/>
        </w:rPr>
        <w:t>Quarter 20</w:t>
      </w:r>
      <w:r w:rsidR="00E02182" w:rsidRPr="00D07269">
        <w:rPr>
          <w:b/>
        </w:rPr>
        <w:t>2</w:t>
      </w:r>
      <w:r>
        <w:rPr>
          <w:b/>
        </w:rPr>
        <w:t>1</w:t>
      </w:r>
      <w:r w:rsidR="000B20B9" w:rsidRPr="00D07269">
        <w:rPr>
          <w:b/>
        </w:rPr>
        <w:t xml:space="preserve"> MetroMax Activity Review</w:t>
      </w:r>
      <w:r w:rsidR="00C164BE" w:rsidRPr="00D07269">
        <w:rPr>
          <w:b/>
        </w:rPr>
        <w:t xml:space="preserve">: </w:t>
      </w:r>
      <w:r w:rsidR="00B45D46">
        <w:t xml:space="preserve">Mr. Cox reviewed the MetroMax </w:t>
      </w:r>
      <w:r w:rsidR="0095313C">
        <w:t>1</w:t>
      </w:r>
      <w:r w:rsidR="0095313C" w:rsidRPr="0095313C">
        <w:rPr>
          <w:vertAlign w:val="superscript"/>
        </w:rPr>
        <w:t>st</w:t>
      </w:r>
      <w:r w:rsidR="0095313C">
        <w:t xml:space="preserve"> Quarter 2021</w:t>
      </w:r>
      <w:r w:rsidR="00B45D46">
        <w:t xml:space="preserve"> Activity Report</w:t>
      </w:r>
      <w:r w:rsidR="00646B1B">
        <w:t xml:space="preserve"> – As </w:t>
      </w:r>
      <w:r w:rsidR="00B35A02">
        <w:t xml:space="preserve">of </w:t>
      </w:r>
      <w:r w:rsidR="0095313C">
        <w:t>03/31/2021</w:t>
      </w:r>
      <w:r w:rsidR="00B35A02">
        <w:t xml:space="preserve"> </w:t>
      </w:r>
      <w:r w:rsidR="006015B4">
        <w:t xml:space="preserve">the plan reached an </w:t>
      </w:r>
      <w:r w:rsidR="00B35A02">
        <w:t>all-time high of</w:t>
      </w:r>
      <w:r w:rsidR="0095313C">
        <w:t xml:space="preserve"> 7715</w:t>
      </w:r>
      <w:r w:rsidR="00B35A02">
        <w:t xml:space="preserve"> participants</w:t>
      </w:r>
      <w:r w:rsidR="006015B4">
        <w:t xml:space="preserve"> and </w:t>
      </w:r>
      <w:r w:rsidR="00B35A02">
        <w:t xml:space="preserve">payroll contributions </w:t>
      </w:r>
      <w:r w:rsidR="0095313C">
        <w:t xml:space="preserve">remained nearly the same from last year at over $14 Million.  Mr. Cox also explained the plans assets were at an all time high at over $400 million.  </w:t>
      </w:r>
      <w:r w:rsidR="00D14E17">
        <w:t xml:space="preserve">  </w:t>
      </w:r>
    </w:p>
    <w:p w14:paraId="4A6504B2" w14:textId="77777777" w:rsidR="00761B15" w:rsidRPr="00761B15" w:rsidRDefault="00761B15" w:rsidP="00761B15">
      <w:pPr>
        <w:pStyle w:val="ListParagraph"/>
        <w:rPr>
          <w:szCs w:val="22"/>
        </w:rPr>
      </w:pPr>
    </w:p>
    <w:p w14:paraId="3ABEF25F" w14:textId="77777777" w:rsidR="00761B15" w:rsidRPr="00E02182" w:rsidRDefault="00761B15" w:rsidP="00761B15">
      <w:pPr>
        <w:pStyle w:val="ListParagraph"/>
        <w:tabs>
          <w:tab w:val="left" w:pos="-840"/>
        </w:tabs>
        <w:ind w:left="360"/>
        <w:jc w:val="both"/>
        <w:rPr>
          <w:szCs w:val="22"/>
        </w:rPr>
      </w:pPr>
    </w:p>
    <w:p w14:paraId="1E5A73D3" w14:textId="77777777" w:rsidR="00274628" w:rsidRPr="00594F13" w:rsidRDefault="00274628" w:rsidP="00274628"/>
    <w:p w14:paraId="0F1A26B2" w14:textId="4B4D4619" w:rsidR="00274628" w:rsidRPr="00594F13" w:rsidRDefault="00274628" w:rsidP="00274628">
      <w:pPr>
        <w:jc w:val="both"/>
        <w:outlineLvl w:val="0"/>
      </w:pPr>
      <w:r w:rsidRPr="00594F13">
        <w:t xml:space="preserve">Approved  </w:t>
      </w:r>
      <w:r w:rsidRPr="00594F13">
        <w:rPr>
          <w:u w:val="single"/>
        </w:rPr>
        <w:t xml:space="preserve">                       </w:t>
      </w:r>
      <w:r w:rsidRPr="00594F13">
        <w:t xml:space="preserve">  </w:t>
      </w:r>
      <w:r w:rsidR="009C6953" w:rsidRPr="00594F13">
        <w:t>by _</w:t>
      </w:r>
      <w:r w:rsidR="00761B15">
        <w:rPr>
          <w:u w:val="single"/>
        </w:rPr>
        <w:t>__________________________________________________</w:t>
      </w:r>
      <w:r w:rsidRPr="00594F13">
        <w:tab/>
      </w:r>
    </w:p>
    <w:p w14:paraId="794B2140" w14:textId="77777777" w:rsidR="00C6242D" w:rsidRPr="00274628" w:rsidRDefault="00F4054F" w:rsidP="00BB6834">
      <w:pPr>
        <w:ind w:left="720" w:firstLine="720"/>
        <w:jc w:val="both"/>
        <w:outlineLvl w:val="0"/>
      </w:pPr>
      <w:r>
        <w:t>(Date)</w:t>
      </w:r>
      <w:r>
        <w:tab/>
      </w:r>
      <w:r>
        <w:tab/>
        <w:t xml:space="preserve">    </w:t>
      </w:r>
      <w:r w:rsidR="00274628" w:rsidRPr="00594F13">
        <w:t xml:space="preserve"> </w:t>
      </w:r>
    </w:p>
    <w:sectPr w:rsidR="00C6242D" w:rsidRPr="00274628" w:rsidSect="00DB0493">
      <w:footerReference w:type="default" r:id="rId11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A78F4" w14:textId="77777777" w:rsidR="000A03E0" w:rsidRDefault="000A03E0">
      <w:r>
        <w:separator/>
      </w:r>
    </w:p>
  </w:endnote>
  <w:endnote w:type="continuationSeparator" w:id="0">
    <w:p w14:paraId="352E1227" w14:textId="77777777" w:rsidR="000A03E0" w:rsidRDefault="000A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80BB3" w14:textId="0C87ABCE" w:rsidR="00D539EB" w:rsidRPr="004D27E3" w:rsidRDefault="00BB6834">
    <w:pPr>
      <w:pStyle w:val="Footer"/>
      <w:rPr>
        <w:color w:val="C0C0C0"/>
      </w:rPr>
    </w:pPr>
    <w:r>
      <w:rPr>
        <w:color w:val="C0C0C0"/>
      </w:rPr>
      <w:t xml:space="preserve">IC Minutes </w:t>
    </w:r>
    <w:r w:rsidR="00AF4100">
      <w:rPr>
        <w:color w:val="C0C0C0"/>
      </w:rPr>
      <w:t>05/20/21</w:t>
    </w:r>
    <w:r>
      <w:rPr>
        <w:color w:val="C0C0C0"/>
      </w:rPr>
      <w:tab/>
    </w:r>
    <w:r w:rsidR="0056705C">
      <w:rPr>
        <w:noProof/>
        <w:color w:val="C0C0C0"/>
      </w:rPr>
      <w:tab/>
    </w:r>
    <w:r w:rsidR="00274628" w:rsidRPr="004D27E3">
      <w:rPr>
        <w:color w:val="C0C0C0"/>
      </w:rPr>
      <w:t xml:space="preserve">Page </w:t>
    </w:r>
    <w:r w:rsidR="00274628" w:rsidRPr="004D27E3">
      <w:rPr>
        <w:color w:val="C0C0C0"/>
      </w:rPr>
      <w:fldChar w:fldCharType="begin"/>
    </w:r>
    <w:r w:rsidR="00274628" w:rsidRPr="004D27E3">
      <w:rPr>
        <w:color w:val="C0C0C0"/>
      </w:rPr>
      <w:instrText xml:space="preserve"> PAGE </w:instrText>
    </w:r>
    <w:r w:rsidR="00274628" w:rsidRPr="004D27E3">
      <w:rPr>
        <w:color w:val="C0C0C0"/>
      </w:rPr>
      <w:fldChar w:fldCharType="separate"/>
    </w:r>
    <w:r w:rsidR="003C70B2">
      <w:rPr>
        <w:noProof/>
        <w:color w:val="C0C0C0"/>
      </w:rPr>
      <w:t>3</w:t>
    </w:r>
    <w:r w:rsidR="00274628" w:rsidRPr="004D27E3">
      <w:rPr>
        <w:color w:val="C0C0C0"/>
      </w:rPr>
      <w:fldChar w:fldCharType="end"/>
    </w:r>
    <w:r w:rsidR="00274628" w:rsidRPr="004D27E3">
      <w:rPr>
        <w:color w:val="C0C0C0"/>
      </w:rPr>
      <w:t xml:space="preserve"> of </w:t>
    </w:r>
    <w:r w:rsidR="00274628" w:rsidRPr="004D27E3">
      <w:rPr>
        <w:color w:val="C0C0C0"/>
      </w:rPr>
      <w:fldChar w:fldCharType="begin"/>
    </w:r>
    <w:r w:rsidR="00274628" w:rsidRPr="004D27E3">
      <w:rPr>
        <w:color w:val="C0C0C0"/>
      </w:rPr>
      <w:instrText xml:space="preserve"> NUMPAGES </w:instrText>
    </w:r>
    <w:r w:rsidR="00274628" w:rsidRPr="004D27E3">
      <w:rPr>
        <w:color w:val="C0C0C0"/>
      </w:rPr>
      <w:fldChar w:fldCharType="separate"/>
    </w:r>
    <w:r w:rsidR="003C70B2">
      <w:rPr>
        <w:noProof/>
        <w:color w:val="C0C0C0"/>
      </w:rPr>
      <w:t>3</w:t>
    </w:r>
    <w:r w:rsidR="00274628" w:rsidRPr="004D27E3">
      <w:rPr>
        <w:color w:val="C0C0C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02919" w14:textId="77777777" w:rsidR="000A03E0" w:rsidRDefault="000A03E0">
      <w:r>
        <w:separator/>
      </w:r>
    </w:p>
  </w:footnote>
  <w:footnote w:type="continuationSeparator" w:id="0">
    <w:p w14:paraId="247FFF0F" w14:textId="77777777" w:rsidR="000A03E0" w:rsidRDefault="000A0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6FC5"/>
    <w:multiLevelType w:val="hybridMultilevel"/>
    <w:tmpl w:val="619872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A7214"/>
    <w:multiLevelType w:val="hybridMultilevel"/>
    <w:tmpl w:val="74242AC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1E41FB"/>
    <w:multiLevelType w:val="hybridMultilevel"/>
    <w:tmpl w:val="E4B200A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520C60"/>
    <w:multiLevelType w:val="hybridMultilevel"/>
    <w:tmpl w:val="C59C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11364"/>
    <w:multiLevelType w:val="hybridMultilevel"/>
    <w:tmpl w:val="1DC8FD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98658E"/>
    <w:multiLevelType w:val="hybridMultilevel"/>
    <w:tmpl w:val="EFBA4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557FB"/>
    <w:multiLevelType w:val="hybridMultilevel"/>
    <w:tmpl w:val="35F2F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46C9"/>
    <w:multiLevelType w:val="hybridMultilevel"/>
    <w:tmpl w:val="C532BE0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61775"/>
    <w:multiLevelType w:val="hybridMultilevel"/>
    <w:tmpl w:val="433A53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087536"/>
    <w:multiLevelType w:val="hybridMultilevel"/>
    <w:tmpl w:val="1788FD54"/>
    <w:lvl w:ilvl="0" w:tplc="0409000B">
      <w:start w:val="1"/>
      <w:numFmt w:val="bullet"/>
      <w:lvlText w:val=""/>
      <w:lvlJc w:val="left"/>
      <w:pPr>
        <w:ind w:left="54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0" w15:restartNumberingAfterBreak="0">
    <w:nsid w:val="17F0022A"/>
    <w:multiLevelType w:val="hybridMultilevel"/>
    <w:tmpl w:val="49222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B79A2"/>
    <w:multiLevelType w:val="hybridMultilevel"/>
    <w:tmpl w:val="1DAE08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B2F0268"/>
    <w:multiLevelType w:val="hybridMultilevel"/>
    <w:tmpl w:val="106A07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1C9A7767"/>
    <w:multiLevelType w:val="hybridMultilevel"/>
    <w:tmpl w:val="88D24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015AF"/>
    <w:multiLevelType w:val="hybridMultilevel"/>
    <w:tmpl w:val="10946C3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1CE06612"/>
    <w:multiLevelType w:val="hybridMultilevel"/>
    <w:tmpl w:val="19704D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D877E35"/>
    <w:multiLevelType w:val="hybridMultilevel"/>
    <w:tmpl w:val="629C5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EF05F6"/>
    <w:multiLevelType w:val="hybridMultilevel"/>
    <w:tmpl w:val="7CDC8A9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1CF3C9C"/>
    <w:multiLevelType w:val="hybridMultilevel"/>
    <w:tmpl w:val="BB960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2C527DB"/>
    <w:multiLevelType w:val="hybridMultilevel"/>
    <w:tmpl w:val="5AF6F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D12CE6"/>
    <w:multiLevelType w:val="hybridMultilevel"/>
    <w:tmpl w:val="590204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E1B076A"/>
    <w:multiLevelType w:val="hybridMultilevel"/>
    <w:tmpl w:val="2DD25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E675CBF"/>
    <w:multiLevelType w:val="hybridMultilevel"/>
    <w:tmpl w:val="8DAEE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BB2F9C"/>
    <w:multiLevelType w:val="hybridMultilevel"/>
    <w:tmpl w:val="42B20A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5240F0"/>
    <w:multiLevelType w:val="hybridMultilevel"/>
    <w:tmpl w:val="0F94F8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4641B7F"/>
    <w:multiLevelType w:val="hybridMultilevel"/>
    <w:tmpl w:val="BF08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F15A8A"/>
    <w:multiLevelType w:val="hybridMultilevel"/>
    <w:tmpl w:val="46DCB5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90E7E57"/>
    <w:multiLevelType w:val="hybridMultilevel"/>
    <w:tmpl w:val="6DB8B6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A411A21"/>
    <w:multiLevelType w:val="hybridMultilevel"/>
    <w:tmpl w:val="607E4FD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E78278B"/>
    <w:multiLevelType w:val="hybridMultilevel"/>
    <w:tmpl w:val="51B62F2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B36BFF"/>
    <w:multiLevelType w:val="hybridMultilevel"/>
    <w:tmpl w:val="B5AE6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B582A"/>
    <w:multiLevelType w:val="hybridMultilevel"/>
    <w:tmpl w:val="1BE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1910EC"/>
    <w:multiLevelType w:val="hybridMultilevel"/>
    <w:tmpl w:val="E71843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5D3CE7"/>
    <w:multiLevelType w:val="hybridMultilevel"/>
    <w:tmpl w:val="57DABB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D02A6"/>
    <w:multiLevelType w:val="hybridMultilevel"/>
    <w:tmpl w:val="A3F6C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5A24FD"/>
    <w:multiLevelType w:val="hybridMultilevel"/>
    <w:tmpl w:val="0E7E3F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9880210"/>
    <w:multiLevelType w:val="hybridMultilevel"/>
    <w:tmpl w:val="86BC3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9BC5483"/>
    <w:multiLevelType w:val="hybridMultilevel"/>
    <w:tmpl w:val="DE32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260AE"/>
    <w:multiLevelType w:val="hybridMultilevel"/>
    <w:tmpl w:val="7318C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D0A05"/>
    <w:multiLevelType w:val="hybridMultilevel"/>
    <w:tmpl w:val="C28626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4E32AE3"/>
    <w:multiLevelType w:val="hybridMultilevel"/>
    <w:tmpl w:val="F0B63A4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68369AC"/>
    <w:multiLevelType w:val="hybridMultilevel"/>
    <w:tmpl w:val="81A6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DB0204"/>
    <w:multiLevelType w:val="hybridMultilevel"/>
    <w:tmpl w:val="97B4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5B6CC9"/>
    <w:multiLevelType w:val="hybridMultilevel"/>
    <w:tmpl w:val="53B8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905A5D"/>
    <w:multiLevelType w:val="hybridMultilevel"/>
    <w:tmpl w:val="D2F6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929BC"/>
    <w:multiLevelType w:val="hybridMultilevel"/>
    <w:tmpl w:val="4DEA6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3F6E47"/>
    <w:multiLevelType w:val="hybridMultilevel"/>
    <w:tmpl w:val="A2EA5C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271621"/>
    <w:multiLevelType w:val="hybridMultilevel"/>
    <w:tmpl w:val="89226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41385C"/>
    <w:multiLevelType w:val="hybridMultilevel"/>
    <w:tmpl w:val="AB9C1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6"/>
  </w:num>
  <w:num w:numId="4">
    <w:abstractNumId w:val="6"/>
  </w:num>
  <w:num w:numId="5">
    <w:abstractNumId w:val="45"/>
  </w:num>
  <w:num w:numId="6">
    <w:abstractNumId w:val="8"/>
  </w:num>
  <w:num w:numId="7">
    <w:abstractNumId w:val="10"/>
  </w:num>
  <w:num w:numId="8">
    <w:abstractNumId w:val="13"/>
  </w:num>
  <w:num w:numId="9">
    <w:abstractNumId w:val="30"/>
  </w:num>
  <w:num w:numId="10">
    <w:abstractNumId w:val="36"/>
  </w:num>
  <w:num w:numId="11">
    <w:abstractNumId w:val="41"/>
  </w:num>
  <w:num w:numId="12">
    <w:abstractNumId w:val="38"/>
  </w:num>
  <w:num w:numId="13">
    <w:abstractNumId w:val="18"/>
  </w:num>
  <w:num w:numId="14">
    <w:abstractNumId w:val="34"/>
  </w:num>
  <w:num w:numId="15">
    <w:abstractNumId w:val="35"/>
  </w:num>
  <w:num w:numId="16">
    <w:abstractNumId w:val="48"/>
  </w:num>
  <w:num w:numId="17">
    <w:abstractNumId w:val="43"/>
  </w:num>
  <w:num w:numId="18">
    <w:abstractNumId w:val="3"/>
  </w:num>
  <w:num w:numId="19">
    <w:abstractNumId w:val="31"/>
  </w:num>
  <w:num w:numId="20">
    <w:abstractNumId w:val="19"/>
  </w:num>
  <w:num w:numId="21">
    <w:abstractNumId w:val="28"/>
  </w:num>
  <w:num w:numId="22">
    <w:abstractNumId w:val="5"/>
  </w:num>
  <w:num w:numId="23">
    <w:abstractNumId w:val="23"/>
  </w:num>
  <w:num w:numId="24">
    <w:abstractNumId w:val="40"/>
  </w:num>
  <w:num w:numId="25">
    <w:abstractNumId w:val="0"/>
  </w:num>
  <w:num w:numId="26">
    <w:abstractNumId w:val="15"/>
  </w:num>
  <w:num w:numId="27">
    <w:abstractNumId w:val="37"/>
  </w:num>
  <w:num w:numId="28">
    <w:abstractNumId w:val="14"/>
  </w:num>
  <w:num w:numId="29">
    <w:abstractNumId w:val="24"/>
  </w:num>
  <w:num w:numId="30">
    <w:abstractNumId w:val="20"/>
  </w:num>
  <w:num w:numId="31">
    <w:abstractNumId w:val="4"/>
  </w:num>
  <w:num w:numId="32">
    <w:abstractNumId w:val="9"/>
  </w:num>
  <w:num w:numId="33">
    <w:abstractNumId w:val="22"/>
  </w:num>
  <w:num w:numId="34">
    <w:abstractNumId w:val="11"/>
  </w:num>
  <w:num w:numId="35">
    <w:abstractNumId w:val="33"/>
  </w:num>
  <w:num w:numId="36">
    <w:abstractNumId w:val="1"/>
  </w:num>
  <w:num w:numId="37">
    <w:abstractNumId w:val="2"/>
  </w:num>
  <w:num w:numId="38">
    <w:abstractNumId w:val="7"/>
  </w:num>
  <w:num w:numId="39">
    <w:abstractNumId w:val="47"/>
  </w:num>
  <w:num w:numId="40">
    <w:abstractNumId w:val="42"/>
  </w:num>
  <w:num w:numId="41">
    <w:abstractNumId w:val="21"/>
  </w:num>
  <w:num w:numId="42">
    <w:abstractNumId w:val="25"/>
  </w:num>
  <w:num w:numId="43">
    <w:abstractNumId w:val="27"/>
  </w:num>
  <w:num w:numId="44">
    <w:abstractNumId w:val="39"/>
  </w:num>
  <w:num w:numId="45">
    <w:abstractNumId w:val="32"/>
  </w:num>
  <w:num w:numId="46">
    <w:abstractNumId w:val="29"/>
  </w:num>
  <w:num w:numId="47">
    <w:abstractNumId w:val="44"/>
  </w:num>
  <w:num w:numId="48">
    <w:abstractNumId w:val="46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28"/>
    <w:rsid w:val="00003475"/>
    <w:rsid w:val="000118B0"/>
    <w:rsid w:val="00013FB2"/>
    <w:rsid w:val="0001417B"/>
    <w:rsid w:val="00017DE1"/>
    <w:rsid w:val="00025A9C"/>
    <w:rsid w:val="0002625E"/>
    <w:rsid w:val="00030A90"/>
    <w:rsid w:val="00032C77"/>
    <w:rsid w:val="00035806"/>
    <w:rsid w:val="00037FE1"/>
    <w:rsid w:val="0004753F"/>
    <w:rsid w:val="00057A38"/>
    <w:rsid w:val="00060130"/>
    <w:rsid w:val="00061660"/>
    <w:rsid w:val="00067130"/>
    <w:rsid w:val="00073829"/>
    <w:rsid w:val="000808D2"/>
    <w:rsid w:val="00082181"/>
    <w:rsid w:val="00084D77"/>
    <w:rsid w:val="00091B6C"/>
    <w:rsid w:val="000952D5"/>
    <w:rsid w:val="000953A8"/>
    <w:rsid w:val="00095A93"/>
    <w:rsid w:val="0009733F"/>
    <w:rsid w:val="000A03E0"/>
    <w:rsid w:val="000A6133"/>
    <w:rsid w:val="000A782B"/>
    <w:rsid w:val="000B20B9"/>
    <w:rsid w:val="000B4C6E"/>
    <w:rsid w:val="000B76C8"/>
    <w:rsid w:val="000C1438"/>
    <w:rsid w:val="000C32DD"/>
    <w:rsid w:val="000C48D4"/>
    <w:rsid w:val="000C7049"/>
    <w:rsid w:val="000D1F18"/>
    <w:rsid w:val="000E050C"/>
    <w:rsid w:val="000E3D95"/>
    <w:rsid w:val="000E5E4D"/>
    <w:rsid w:val="000F4187"/>
    <w:rsid w:val="000F6EB3"/>
    <w:rsid w:val="00102EA7"/>
    <w:rsid w:val="00112058"/>
    <w:rsid w:val="00114F94"/>
    <w:rsid w:val="001152AC"/>
    <w:rsid w:val="0012183B"/>
    <w:rsid w:val="00123280"/>
    <w:rsid w:val="0013357C"/>
    <w:rsid w:val="001344E0"/>
    <w:rsid w:val="00137DC7"/>
    <w:rsid w:val="00143A34"/>
    <w:rsid w:val="001472CB"/>
    <w:rsid w:val="00152B98"/>
    <w:rsid w:val="00152DF2"/>
    <w:rsid w:val="001548E9"/>
    <w:rsid w:val="00155FC8"/>
    <w:rsid w:val="001564B2"/>
    <w:rsid w:val="001571F8"/>
    <w:rsid w:val="00161FA1"/>
    <w:rsid w:val="00163C6C"/>
    <w:rsid w:val="00166E9F"/>
    <w:rsid w:val="00174342"/>
    <w:rsid w:val="00174B66"/>
    <w:rsid w:val="00177474"/>
    <w:rsid w:val="001777C8"/>
    <w:rsid w:val="00181E41"/>
    <w:rsid w:val="00182156"/>
    <w:rsid w:val="00187FD6"/>
    <w:rsid w:val="001A3431"/>
    <w:rsid w:val="001B12B1"/>
    <w:rsid w:val="001B476A"/>
    <w:rsid w:val="001B5289"/>
    <w:rsid w:val="001C1A89"/>
    <w:rsid w:val="001C1C05"/>
    <w:rsid w:val="001C3089"/>
    <w:rsid w:val="001C4D10"/>
    <w:rsid w:val="001D0C80"/>
    <w:rsid w:val="001D6C2A"/>
    <w:rsid w:val="001E05EA"/>
    <w:rsid w:val="001E23AC"/>
    <w:rsid w:val="001E46A8"/>
    <w:rsid w:val="001E660E"/>
    <w:rsid w:val="001F4187"/>
    <w:rsid w:val="002007D1"/>
    <w:rsid w:val="00201692"/>
    <w:rsid w:val="00207988"/>
    <w:rsid w:val="002108C9"/>
    <w:rsid w:val="00211A60"/>
    <w:rsid w:val="00214B30"/>
    <w:rsid w:val="002151DC"/>
    <w:rsid w:val="002154A2"/>
    <w:rsid w:val="00223ADB"/>
    <w:rsid w:val="00224441"/>
    <w:rsid w:val="002268A3"/>
    <w:rsid w:val="00237C47"/>
    <w:rsid w:val="0024001F"/>
    <w:rsid w:val="00240A8E"/>
    <w:rsid w:val="00255CBF"/>
    <w:rsid w:val="00256118"/>
    <w:rsid w:val="00256D13"/>
    <w:rsid w:val="0026336A"/>
    <w:rsid w:val="00274628"/>
    <w:rsid w:val="00285229"/>
    <w:rsid w:val="002856C8"/>
    <w:rsid w:val="00292EC1"/>
    <w:rsid w:val="002A1072"/>
    <w:rsid w:val="002A4903"/>
    <w:rsid w:val="002B2460"/>
    <w:rsid w:val="002B289C"/>
    <w:rsid w:val="002B2C6F"/>
    <w:rsid w:val="002B58B4"/>
    <w:rsid w:val="002B7AB8"/>
    <w:rsid w:val="002C3BC8"/>
    <w:rsid w:val="002C3F1A"/>
    <w:rsid w:val="002C43FD"/>
    <w:rsid w:val="002C4552"/>
    <w:rsid w:val="002C4E84"/>
    <w:rsid w:val="002C52D8"/>
    <w:rsid w:val="002C61C6"/>
    <w:rsid w:val="002C6483"/>
    <w:rsid w:val="002C668D"/>
    <w:rsid w:val="002D0870"/>
    <w:rsid w:val="002D7B9B"/>
    <w:rsid w:val="002E50FC"/>
    <w:rsid w:val="002E5344"/>
    <w:rsid w:val="002E60B0"/>
    <w:rsid w:val="002E79C5"/>
    <w:rsid w:val="002F1B09"/>
    <w:rsid w:val="002F4BD9"/>
    <w:rsid w:val="002F67BA"/>
    <w:rsid w:val="0030123F"/>
    <w:rsid w:val="003018C4"/>
    <w:rsid w:val="00303C96"/>
    <w:rsid w:val="00306120"/>
    <w:rsid w:val="00307464"/>
    <w:rsid w:val="003076D3"/>
    <w:rsid w:val="00321C89"/>
    <w:rsid w:val="003229B7"/>
    <w:rsid w:val="00330CFA"/>
    <w:rsid w:val="00331980"/>
    <w:rsid w:val="00340C8C"/>
    <w:rsid w:val="00341607"/>
    <w:rsid w:val="0034294E"/>
    <w:rsid w:val="00345F7E"/>
    <w:rsid w:val="0034770D"/>
    <w:rsid w:val="0035652A"/>
    <w:rsid w:val="00356571"/>
    <w:rsid w:val="00360D8E"/>
    <w:rsid w:val="00364EF3"/>
    <w:rsid w:val="00367A5A"/>
    <w:rsid w:val="00371AB5"/>
    <w:rsid w:val="00371FF0"/>
    <w:rsid w:val="003725C7"/>
    <w:rsid w:val="0037394A"/>
    <w:rsid w:val="00374CDB"/>
    <w:rsid w:val="00377211"/>
    <w:rsid w:val="00385A64"/>
    <w:rsid w:val="00392F43"/>
    <w:rsid w:val="003B0885"/>
    <w:rsid w:val="003B17FF"/>
    <w:rsid w:val="003B1CB3"/>
    <w:rsid w:val="003B3B13"/>
    <w:rsid w:val="003B4E14"/>
    <w:rsid w:val="003B5A16"/>
    <w:rsid w:val="003B6925"/>
    <w:rsid w:val="003B7F6A"/>
    <w:rsid w:val="003C3A77"/>
    <w:rsid w:val="003C3D38"/>
    <w:rsid w:val="003C70B2"/>
    <w:rsid w:val="003D0777"/>
    <w:rsid w:val="003D1FA9"/>
    <w:rsid w:val="003D4A96"/>
    <w:rsid w:val="003D55A2"/>
    <w:rsid w:val="003E1231"/>
    <w:rsid w:val="003E13A3"/>
    <w:rsid w:val="003E504F"/>
    <w:rsid w:val="003F17C3"/>
    <w:rsid w:val="003F4075"/>
    <w:rsid w:val="0040217C"/>
    <w:rsid w:val="004049A9"/>
    <w:rsid w:val="0041472A"/>
    <w:rsid w:val="00417137"/>
    <w:rsid w:val="004240A7"/>
    <w:rsid w:val="0042547B"/>
    <w:rsid w:val="00430176"/>
    <w:rsid w:val="004334F8"/>
    <w:rsid w:val="00433FE1"/>
    <w:rsid w:val="00436778"/>
    <w:rsid w:val="0044376A"/>
    <w:rsid w:val="00445B05"/>
    <w:rsid w:val="00451E71"/>
    <w:rsid w:val="00454A33"/>
    <w:rsid w:val="0045742D"/>
    <w:rsid w:val="00464F8B"/>
    <w:rsid w:val="0046508C"/>
    <w:rsid w:val="00465E98"/>
    <w:rsid w:val="0047582E"/>
    <w:rsid w:val="00480721"/>
    <w:rsid w:val="004859D4"/>
    <w:rsid w:val="004862AE"/>
    <w:rsid w:val="00487DA7"/>
    <w:rsid w:val="00492652"/>
    <w:rsid w:val="00493B1E"/>
    <w:rsid w:val="004941A1"/>
    <w:rsid w:val="004A456B"/>
    <w:rsid w:val="004A64F1"/>
    <w:rsid w:val="004B2353"/>
    <w:rsid w:val="004B5537"/>
    <w:rsid w:val="004B5E8A"/>
    <w:rsid w:val="004C51C7"/>
    <w:rsid w:val="004D2A25"/>
    <w:rsid w:val="004D4284"/>
    <w:rsid w:val="004D6F9D"/>
    <w:rsid w:val="004D7F4D"/>
    <w:rsid w:val="004E524A"/>
    <w:rsid w:val="004F18DC"/>
    <w:rsid w:val="004F266C"/>
    <w:rsid w:val="004F5340"/>
    <w:rsid w:val="00501CBA"/>
    <w:rsid w:val="005133EB"/>
    <w:rsid w:val="0051426A"/>
    <w:rsid w:val="00535006"/>
    <w:rsid w:val="00535AE7"/>
    <w:rsid w:val="005401F0"/>
    <w:rsid w:val="005408D8"/>
    <w:rsid w:val="005409C9"/>
    <w:rsid w:val="00541B35"/>
    <w:rsid w:val="00543991"/>
    <w:rsid w:val="005500E6"/>
    <w:rsid w:val="005507DC"/>
    <w:rsid w:val="00551166"/>
    <w:rsid w:val="005513ED"/>
    <w:rsid w:val="0055426C"/>
    <w:rsid w:val="00561F92"/>
    <w:rsid w:val="0056538D"/>
    <w:rsid w:val="0056705C"/>
    <w:rsid w:val="00573858"/>
    <w:rsid w:val="00583B54"/>
    <w:rsid w:val="00584CF4"/>
    <w:rsid w:val="0058598E"/>
    <w:rsid w:val="00586330"/>
    <w:rsid w:val="0059108E"/>
    <w:rsid w:val="00592ABC"/>
    <w:rsid w:val="00595821"/>
    <w:rsid w:val="005972AE"/>
    <w:rsid w:val="005A6C4C"/>
    <w:rsid w:val="005A7BC2"/>
    <w:rsid w:val="005B234B"/>
    <w:rsid w:val="005B4CAB"/>
    <w:rsid w:val="005B512C"/>
    <w:rsid w:val="005B51D1"/>
    <w:rsid w:val="005B711E"/>
    <w:rsid w:val="005C0F26"/>
    <w:rsid w:val="005D007F"/>
    <w:rsid w:val="005D48AF"/>
    <w:rsid w:val="005D7701"/>
    <w:rsid w:val="005E049C"/>
    <w:rsid w:val="005E1080"/>
    <w:rsid w:val="005E25B3"/>
    <w:rsid w:val="005E5363"/>
    <w:rsid w:val="005E7077"/>
    <w:rsid w:val="005F2153"/>
    <w:rsid w:val="005F5112"/>
    <w:rsid w:val="005F5B88"/>
    <w:rsid w:val="005F6728"/>
    <w:rsid w:val="00600F3B"/>
    <w:rsid w:val="006015B4"/>
    <w:rsid w:val="00603BF9"/>
    <w:rsid w:val="006077A3"/>
    <w:rsid w:val="00607F1E"/>
    <w:rsid w:val="0061122F"/>
    <w:rsid w:val="006118EB"/>
    <w:rsid w:val="006235B8"/>
    <w:rsid w:val="00623864"/>
    <w:rsid w:val="0062550E"/>
    <w:rsid w:val="0063472D"/>
    <w:rsid w:val="00635DB7"/>
    <w:rsid w:val="006379C3"/>
    <w:rsid w:val="00637FA7"/>
    <w:rsid w:val="00643C07"/>
    <w:rsid w:val="00646314"/>
    <w:rsid w:val="00646B1B"/>
    <w:rsid w:val="006472BC"/>
    <w:rsid w:val="00652D17"/>
    <w:rsid w:val="006554ED"/>
    <w:rsid w:val="00656A71"/>
    <w:rsid w:val="00663808"/>
    <w:rsid w:val="006645C2"/>
    <w:rsid w:val="0066578F"/>
    <w:rsid w:val="00670BBE"/>
    <w:rsid w:val="00681D6D"/>
    <w:rsid w:val="006858BA"/>
    <w:rsid w:val="006915FE"/>
    <w:rsid w:val="00692AA2"/>
    <w:rsid w:val="006930D4"/>
    <w:rsid w:val="00695963"/>
    <w:rsid w:val="006A0B31"/>
    <w:rsid w:val="006A2989"/>
    <w:rsid w:val="006A2C7C"/>
    <w:rsid w:val="006A6972"/>
    <w:rsid w:val="006A744E"/>
    <w:rsid w:val="006B61F1"/>
    <w:rsid w:val="006C1574"/>
    <w:rsid w:val="006D412A"/>
    <w:rsid w:val="006E6433"/>
    <w:rsid w:val="006E6A36"/>
    <w:rsid w:val="006E7353"/>
    <w:rsid w:val="006F308D"/>
    <w:rsid w:val="006F509D"/>
    <w:rsid w:val="006F55D1"/>
    <w:rsid w:val="006F712A"/>
    <w:rsid w:val="006F7C44"/>
    <w:rsid w:val="007040A4"/>
    <w:rsid w:val="007100E3"/>
    <w:rsid w:val="00710837"/>
    <w:rsid w:val="00712B3C"/>
    <w:rsid w:val="00720321"/>
    <w:rsid w:val="00722219"/>
    <w:rsid w:val="007225F9"/>
    <w:rsid w:val="0072268B"/>
    <w:rsid w:val="00724D82"/>
    <w:rsid w:val="007326B1"/>
    <w:rsid w:val="0073720D"/>
    <w:rsid w:val="00737440"/>
    <w:rsid w:val="00743696"/>
    <w:rsid w:val="00756BA7"/>
    <w:rsid w:val="0075740F"/>
    <w:rsid w:val="00761B15"/>
    <w:rsid w:val="007625F6"/>
    <w:rsid w:val="00762D96"/>
    <w:rsid w:val="00766E7D"/>
    <w:rsid w:val="0076703D"/>
    <w:rsid w:val="00767712"/>
    <w:rsid w:val="00773982"/>
    <w:rsid w:val="0077797E"/>
    <w:rsid w:val="00780BCC"/>
    <w:rsid w:val="0078344A"/>
    <w:rsid w:val="00785C31"/>
    <w:rsid w:val="007861B1"/>
    <w:rsid w:val="00791841"/>
    <w:rsid w:val="007952EB"/>
    <w:rsid w:val="00795CBE"/>
    <w:rsid w:val="007967B0"/>
    <w:rsid w:val="007A1CD8"/>
    <w:rsid w:val="007A55C3"/>
    <w:rsid w:val="007B0C38"/>
    <w:rsid w:val="007B1AD9"/>
    <w:rsid w:val="007C221E"/>
    <w:rsid w:val="007C6F68"/>
    <w:rsid w:val="007D0F28"/>
    <w:rsid w:val="007D3B23"/>
    <w:rsid w:val="007D5965"/>
    <w:rsid w:val="007D6215"/>
    <w:rsid w:val="007E621F"/>
    <w:rsid w:val="007F1984"/>
    <w:rsid w:val="007F4A66"/>
    <w:rsid w:val="007F4FF8"/>
    <w:rsid w:val="007F7506"/>
    <w:rsid w:val="00804E6D"/>
    <w:rsid w:val="00815064"/>
    <w:rsid w:val="00821627"/>
    <w:rsid w:val="008217C9"/>
    <w:rsid w:val="008237F4"/>
    <w:rsid w:val="00824D62"/>
    <w:rsid w:val="0082560A"/>
    <w:rsid w:val="008326C9"/>
    <w:rsid w:val="00832C5B"/>
    <w:rsid w:val="00835165"/>
    <w:rsid w:val="00835240"/>
    <w:rsid w:val="008371CB"/>
    <w:rsid w:val="00843289"/>
    <w:rsid w:val="0084338C"/>
    <w:rsid w:val="00843BC3"/>
    <w:rsid w:val="008519E7"/>
    <w:rsid w:val="00857E9D"/>
    <w:rsid w:val="00857FA0"/>
    <w:rsid w:val="00862FC9"/>
    <w:rsid w:val="00870051"/>
    <w:rsid w:val="00875A64"/>
    <w:rsid w:val="00875EF9"/>
    <w:rsid w:val="00881B96"/>
    <w:rsid w:val="00882273"/>
    <w:rsid w:val="0088385F"/>
    <w:rsid w:val="008903FD"/>
    <w:rsid w:val="00891499"/>
    <w:rsid w:val="008953ED"/>
    <w:rsid w:val="00897404"/>
    <w:rsid w:val="008A4F7D"/>
    <w:rsid w:val="008A58F9"/>
    <w:rsid w:val="008A6039"/>
    <w:rsid w:val="008B41A9"/>
    <w:rsid w:val="008C0FA5"/>
    <w:rsid w:val="008C209D"/>
    <w:rsid w:val="008C2EBB"/>
    <w:rsid w:val="008D09A1"/>
    <w:rsid w:val="008D1C80"/>
    <w:rsid w:val="008D3DB1"/>
    <w:rsid w:val="008D59F0"/>
    <w:rsid w:val="008D669A"/>
    <w:rsid w:val="008D75A3"/>
    <w:rsid w:val="008E1051"/>
    <w:rsid w:val="008E2880"/>
    <w:rsid w:val="008E2EB8"/>
    <w:rsid w:val="008E2EBE"/>
    <w:rsid w:val="008E5F8E"/>
    <w:rsid w:val="008F151B"/>
    <w:rsid w:val="008F5EF7"/>
    <w:rsid w:val="00902D78"/>
    <w:rsid w:val="00902F11"/>
    <w:rsid w:val="009042E3"/>
    <w:rsid w:val="00907114"/>
    <w:rsid w:val="00912147"/>
    <w:rsid w:val="00914F25"/>
    <w:rsid w:val="009162CF"/>
    <w:rsid w:val="009216DD"/>
    <w:rsid w:val="0092708D"/>
    <w:rsid w:val="0093564A"/>
    <w:rsid w:val="00935934"/>
    <w:rsid w:val="00935CF5"/>
    <w:rsid w:val="009477FA"/>
    <w:rsid w:val="00952681"/>
    <w:rsid w:val="0095313C"/>
    <w:rsid w:val="00955590"/>
    <w:rsid w:val="00955BBD"/>
    <w:rsid w:val="00963042"/>
    <w:rsid w:val="00963CDE"/>
    <w:rsid w:val="00964B59"/>
    <w:rsid w:val="009678BF"/>
    <w:rsid w:val="00970BCB"/>
    <w:rsid w:val="00980628"/>
    <w:rsid w:val="00982AD2"/>
    <w:rsid w:val="00982C3A"/>
    <w:rsid w:val="009903D5"/>
    <w:rsid w:val="009934FC"/>
    <w:rsid w:val="00996EDE"/>
    <w:rsid w:val="0099733F"/>
    <w:rsid w:val="0099778C"/>
    <w:rsid w:val="009A56B6"/>
    <w:rsid w:val="009A7705"/>
    <w:rsid w:val="009B3645"/>
    <w:rsid w:val="009B40C4"/>
    <w:rsid w:val="009B4F64"/>
    <w:rsid w:val="009B7B0C"/>
    <w:rsid w:val="009B7F22"/>
    <w:rsid w:val="009C3566"/>
    <w:rsid w:val="009C6953"/>
    <w:rsid w:val="009D079B"/>
    <w:rsid w:val="009D2EFD"/>
    <w:rsid w:val="009D4BBD"/>
    <w:rsid w:val="009E3BC5"/>
    <w:rsid w:val="009E44FA"/>
    <w:rsid w:val="009E77F9"/>
    <w:rsid w:val="009F0EC6"/>
    <w:rsid w:val="009F7167"/>
    <w:rsid w:val="00A0265C"/>
    <w:rsid w:val="00A0537A"/>
    <w:rsid w:val="00A053AC"/>
    <w:rsid w:val="00A13D73"/>
    <w:rsid w:val="00A16B8E"/>
    <w:rsid w:val="00A2078F"/>
    <w:rsid w:val="00A22190"/>
    <w:rsid w:val="00A2480B"/>
    <w:rsid w:val="00A43CAF"/>
    <w:rsid w:val="00A45F0B"/>
    <w:rsid w:val="00A4784C"/>
    <w:rsid w:val="00A50359"/>
    <w:rsid w:val="00A504E4"/>
    <w:rsid w:val="00A50572"/>
    <w:rsid w:val="00A517A7"/>
    <w:rsid w:val="00A51928"/>
    <w:rsid w:val="00A52482"/>
    <w:rsid w:val="00A53D2A"/>
    <w:rsid w:val="00A56853"/>
    <w:rsid w:val="00A65E2E"/>
    <w:rsid w:val="00A6723F"/>
    <w:rsid w:val="00A807E8"/>
    <w:rsid w:val="00A81C7F"/>
    <w:rsid w:val="00A84D70"/>
    <w:rsid w:val="00A92FEC"/>
    <w:rsid w:val="00A968DC"/>
    <w:rsid w:val="00AA34A8"/>
    <w:rsid w:val="00AA6B3F"/>
    <w:rsid w:val="00AB0E9C"/>
    <w:rsid w:val="00AB7D7D"/>
    <w:rsid w:val="00AC374B"/>
    <w:rsid w:val="00AC5A15"/>
    <w:rsid w:val="00AD1BAB"/>
    <w:rsid w:val="00AE25AC"/>
    <w:rsid w:val="00AF4100"/>
    <w:rsid w:val="00AF7C3F"/>
    <w:rsid w:val="00B0068B"/>
    <w:rsid w:val="00B00ACE"/>
    <w:rsid w:val="00B06477"/>
    <w:rsid w:val="00B113CB"/>
    <w:rsid w:val="00B1258D"/>
    <w:rsid w:val="00B15E7C"/>
    <w:rsid w:val="00B30506"/>
    <w:rsid w:val="00B3346A"/>
    <w:rsid w:val="00B358CB"/>
    <w:rsid w:val="00B35A02"/>
    <w:rsid w:val="00B3680D"/>
    <w:rsid w:val="00B45D25"/>
    <w:rsid w:val="00B45D46"/>
    <w:rsid w:val="00B4704A"/>
    <w:rsid w:val="00B47D3C"/>
    <w:rsid w:val="00B506F6"/>
    <w:rsid w:val="00B50BB5"/>
    <w:rsid w:val="00B5750B"/>
    <w:rsid w:val="00B618B3"/>
    <w:rsid w:val="00B61F04"/>
    <w:rsid w:val="00B63950"/>
    <w:rsid w:val="00B6401A"/>
    <w:rsid w:val="00B6640C"/>
    <w:rsid w:val="00B706ED"/>
    <w:rsid w:val="00B711D2"/>
    <w:rsid w:val="00B87585"/>
    <w:rsid w:val="00B87B3A"/>
    <w:rsid w:val="00B946A8"/>
    <w:rsid w:val="00B97DCC"/>
    <w:rsid w:val="00BA7673"/>
    <w:rsid w:val="00BB1C49"/>
    <w:rsid w:val="00BB4779"/>
    <w:rsid w:val="00BB567B"/>
    <w:rsid w:val="00BB6834"/>
    <w:rsid w:val="00BC0E33"/>
    <w:rsid w:val="00BC6DD1"/>
    <w:rsid w:val="00BD08C8"/>
    <w:rsid w:val="00BD348A"/>
    <w:rsid w:val="00BD4ED2"/>
    <w:rsid w:val="00BE3483"/>
    <w:rsid w:val="00BF5087"/>
    <w:rsid w:val="00BF64D9"/>
    <w:rsid w:val="00C05575"/>
    <w:rsid w:val="00C064AF"/>
    <w:rsid w:val="00C11329"/>
    <w:rsid w:val="00C164BE"/>
    <w:rsid w:val="00C27357"/>
    <w:rsid w:val="00C33BD4"/>
    <w:rsid w:val="00C34BF1"/>
    <w:rsid w:val="00C378BC"/>
    <w:rsid w:val="00C43FB7"/>
    <w:rsid w:val="00C4466E"/>
    <w:rsid w:val="00C53867"/>
    <w:rsid w:val="00C6242D"/>
    <w:rsid w:val="00C6373D"/>
    <w:rsid w:val="00C66681"/>
    <w:rsid w:val="00C67754"/>
    <w:rsid w:val="00C701F3"/>
    <w:rsid w:val="00C73120"/>
    <w:rsid w:val="00C77578"/>
    <w:rsid w:val="00C8125A"/>
    <w:rsid w:val="00C87212"/>
    <w:rsid w:val="00C90012"/>
    <w:rsid w:val="00C9786E"/>
    <w:rsid w:val="00CA085D"/>
    <w:rsid w:val="00CA420B"/>
    <w:rsid w:val="00CA4F8D"/>
    <w:rsid w:val="00CA7A12"/>
    <w:rsid w:val="00CA7C29"/>
    <w:rsid w:val="00CB415C"/>
    <w:rsid w:val="00CB4327"/>
    <w:rsid w:val="00CB4B97"/>
    <w:rsid w:val="00CB4BCF"/>
    <w:rsid w:val="00CB73B3"/>
    <w:rsid w:val="00CC4EC0"/>
    <w:rsid w:val="00CD18E9"/>
    <w:rsid w:val="00CE1015"/>
    <w:rsid w:val="00CE5A7D"/>
    <w:rsid w:val="00CF17DD"/>
    <w:rsid w:val="00D004E3"/>
    <w:rsid w:val="00D00649"/>
    <w:rsid w:val="00D00702"/>
    <w:rsid w:val="00D07269"/>
    <w:rsid w:val="00D07B95"/>
    <w:rsid w:val="00D07FF5"/>
    <w:rsid w:val="00D1303D"/>
    <w:rsid w:val="00D14E17"/>
    <w:rsid w:val="00D15766"/>
    <w:rsid w:val="00D15FF3"/>
    <w:rsid w:val="00D22896"/>
    <w:rsid w:val="00D326DF"/>
    <w:rsid w:val="00D3442B"/>
    <w:rsid w:val="00D362F7"/>
    <w:rsid w:val="00D45523"/>
    <w:rsid w:val="00D46062"/>
    <w:rsid w:val="00D5041A"/>
    <w:rsid w:val="00D50C3B"/>
    <w:rsid w:val="00D51C01"/>
    <w:rsid w:val="00D51F99"/>
    <w:rsid w:val="00D52478"/>
    <w:rsid w:val="00D5480D"/>
    <w:rsid w:val="00D553C2"/>
    <w:rsid w:val="00D61CB0"/>
    <w:rsid w:val="00D66063"/>
    <w:rsid w:val="00D6675B"/>
    <w:rsid w:val="00D66BA4"/>
    <w:rsid w:val="00D703BA"/>
    <w:rsid w:val="00D726CF"/>
    <w:rsid w:val="00D8195C"/>
    <w:rsid w:val="00D8663C"/>
    <w:rsid w:val="00D86679"/>
    <w:rsid w:val="00D86AE8"/>
    <w:rsid w:val="00D91F88"/>
    <w:rsid w:val="00DA21FE"/>
    <w:rsid w:val="00DB0493"/>
    <w:rsid w:val="00DB44BC"/>
    <w:rsid w:val="00DB6692"/>
    <w:rsid w:val="00DC0AEB"/>
    <w:rsid w:val="00DC0EEF"/>
    <w:rsid w:val="00DC3BBD"/>
    <w:rsid w:val="00DC4010"/>
    <w:rsid w:val="00DC6C90"/>
    <w:rsid w:val="00DD0258"/>
    <w:rsid w:val="00DD25B2"/>
    <w:rsid w:val="00DD5C4D"/>
    <w:rsid w:val="00DE3F10"/>
    <w:rsid w:val="00DE4BDE"/>
    <w:rsid w:val="00DE626C"/>
    <w:rsid w:val="00E01FD4"/>
    <w:rsid w:val="00E02182"/>
    <w:rsid w:val="00E05720"/>
    <w:rsid w:val="00E0655B"/>
    <w:rsid w:val="00E07A1D"/>
    <w:rsid w:val="00E12A20"/>
    <w:rsid w:val="00E12CCB"/>
    <w:rsid w:val="00E1485F"/>
    <w:rsid w:val="00E3198E"/>
    <w:rsid w:val="00E321B7"/>
    <w:rsid w:val="00E3398C"/>
    <w:rsid w:val="00E3580B"/>
    <w:rsid w:val="00E42E4B"/>
    <w:rsid w:val="00E44C02"/>
    <w:rsid w:val="00E52967"/>
    <w:rsid w:val="00E55321"/>
    <w:rsid w:val="00E5549E"/>
    <w:rsid w:val="00E60AA3"/>
    <w:rsid w:val="00E61016"/>
    <w:rsid w:val="00E66FA3"/>
    <w:rsid w:val="00E67FCD"/>
    <w:rsid w:val="00E72CE6"/>
    <w:rsid w:val="00E800E8"/>
    <w:rsid w:val="00E83229"/>
    <w:rsid w:val="00E878B9"/>
    <w:rsid w:val="00E91784"/>
    <w:rsid w:val="00E963FB"/>
    <w:rsid w:val="00EA2FF8"/>
    <w:rsid w:val="00EA346F"/>
    <w:rsid w:val="00EA38DB"/>
    <w:rsid w:val="00EC261E"/>
    <w:rsid w:val="00EC5A17"/>
    <w:rsid w:val="00ED391D"/>
    <w:rsid w:val="00ED7861"/>
    <w:rsid w:val="00ED7B6C"/>
    <w:rsid w:val="00EE02EE"/>
    <w:rsid w:val="00EF1E99"/>
    <w:rsid w:val="00EF5430"/>
    <w:rsid w:val="00F07F98"/>
    <w:rsid w:val="00F13BE2"/>
    <w:rsid w:val="00F21EA2"/>
    <w:rsid w:val="00F21F52"/>
    <w:rsid w:val="00F224A6"/>
    <w:rsid w:val="00F24F6B"/>
    <w:rsid w:val="00F32B82"/>
    <w:rsid w:val="00F36A21"/>
    <w:rsid w:val="00F4054F"/>
    <w:rsid w:val="00F408CE"/>
    <w:rsid w:val="00F534F5"/>
    <w:rsid w:val="00F57C79"/>
    <w:rsid w:val="00F62E63"/>
    <w:rsid w:val="00F66292"/>
    <w:rsid w:val="00F7272B"/>
    <w:rsid w:val="00F874EA"/>
    <w:rsid w:val="00F93A25"/>
    <w:rsid w:val="00F93FAB"/>
    <w:rsid w:val="00F96147"/>
    <w:rsid w:val="00FA1BCC"/>
    <w:rsid w:val="00FA66D2"/>
    <w:rsid w:val="00FA6A70"/>
    <w:rsid w:val="00FB0313"/>
    <w:rsid w:val="00FC1330"/>
    <w:rsid w:val="00FC2F9B"/>
    <w:rsid w:val="00FD06A2"/>
    <w:rsid w:val="00FD39B6"/>
    <w:rsid w:val="00FE1713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AA8847C"/>
  <w15:docId w15:val="{F4B30537-EA18-4FF0-A12E-F79445B4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74628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27462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Indent">
    <w:name w:val="Body Text Indent"/>
    <w:basedOn w:val="Normal"/>
    <w:link w:val="BodyTextIndentChar"/>
    <w:rsid w:val="00274628"/>
    <w:pPr>
      <w:ind w:left="-720"/>
    </w:pPr>
    <w:rPr>
      <w:sz w:val="32"/>
    </w:rPr>
  </w:style>
  <w:style w:type="character" w:customStyle="1" w:styleId="BodyTextIndentChar">
    <w:name w:val="Body Text Indent Char"/>
    <w:basedOn w:val="DefaultParagraphFont"/>
    <w:link w:val="BodyTextIndent"/>
    <w:rsid w:val="00274628"/>
    <w:rPr>
      <w:rFonts w:ascii="Times New Roman" w:eastAsia="Times New Roman" w:hAnsi="Times New Roman" w:cs="Times New Roman"/>
      <w:sz w:val="32"/>
      <w:szCs w:val="24"/>
    </w:rPr>
  </w:style>
  <w:style w:type="paragraph" w:styleId="Footer">
    <w:name w:val="footer"/>
    <w:basedOn w:val="Normal"/>
    <w:link w:val="FooterChar"/>
    <w:rsid w:val="00274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462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462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A64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4F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A3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5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8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8F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8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unhideWhenUsed/>
    <w:rsid w:val="00C4466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4466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705FF61468F418B74A22C304E7B22" ma:contentTypeVersion="2" ma:contentTypeDescription="Create a new document." ma:contentTypeScope="" ma:versionID="15704b424100ffcb8f6b19427cca051f">
  <xsd:schema xmlns:xsd="http://www.w3.org/2001/XMLSchema" xmlns:xs="http://www.w3.org/2001/XMLSchema" xmlns:p="http://schemas.microsoft.com/office/2006/metadata/properties" xmlns:ns3="b465c437-7dc4-42a5-952e-2325ba342d7e" targetNamespace="http://schemas.microsoft.com/office/2006/metadata/properties" ma:root="true" ma:fieldsID="dea619f622fb50bee10ca98760746472" ns3:_="">
    <xsd:import namespace="b465c437-7dc4-42a5-952e-2325ba342d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c437-7dc4-42a5-952e-2325ba342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F029F-520E-4B0B-8B47-C1C8280BC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1422D-106A-4972-8540-1D37ACB49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5c437-7dc4-42a5-952e-2325ba342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366B12-BB21-43BB-82B6-365AFEBF8A80}">
  <ds:schemaRefs>
    <ds:schemaRef ds:uri="http://purl.org/dc/terms/"/>
    <ds:schemaRef ds:uri="http://schemas.openxmlformats.org/package/2006/metadata/core-properties"/>
    <ds:schemaRef ds:uri="http://purl.org/dc/dcmitype/"/>
    <ds:schemaRef ds:uri="b465c437-7dc4-42a5-952e-2325ba342d7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AC5F086-0D21-4FC8-9D67-C9A841B1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1190</Words>
  <Characters>6786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Government of Nashville &amp; Davidson Cty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Martin, Katherine E (Finance - Treasury)</dc:creator>
  <cp:lastModifiedBy>Richie, Katelyn (Finance - Treasury)</cp:lastModifiedBy>
  <cp:revision>2</cp:revision>
  <cp:lastPrinted>2021-05-05T12:05:00Z</cp:lastPrinted>
  <dcterms:created xsi:type="dcterms:W3CDTF">2021-08-17T15:30:00Z</dcterms:created>
  <dcterms:modified xsi:type="dcterms:W3CDTF">2021-08-17T15:30:00Z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0x010100FFA705FF61468F418B74A22C304E7B22</vt:lpwstr>
  </property>
</Properties>
</file>